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291E3" w14:textId="0F664104" w:rsidR="00571FD6" w:rsidRPr="00056931" w:rsidRDefault="00571FD6" w:rsidP="00A85EC6">
      <w:pPr>
        <w:pBdr>
          <w:between w:val="single" w:sz="8" w:space="1" w:color="C00000"/>
        </w:pBdr>
        <w:tabs>
          <w:tab w:val="right" w:pos="9746"/>
        </w:tabs>
        <w:rPr>
          <w:rFonts w:cs="Arial"/>
          <w:color w:val="C00000"/>
          <w:szCs w:val="24"/>
        </w:rPr>
      </w:pPr>
      <w:r w:rsidRPr="007612B9">
        <w:rPr>
          <w:rFonts w:cs="Arial"/>
          <w:b/>
          <w:color w:val="C00000"/>
          <w:sz w:val="36"/>
          <w:szCs w:val="36"/>
        </w:rPr>
        <w:t xml:space="preserve">Planning </w:t>
      </w:r>
      <w:r w:rsidR="00E63284">
        <w:rPr>
          <w:rFonts w:cs="Arial"/>
          <w:b/>
          <w:color w:val="C00000"/>
          <w:sz w:val="36"/>
          <w:szCs w:val="36"/>
        </w:rPr>
        <w:t>and Assessment</w:t>
      </w:r>
      <w:r w:rsidR="00056931">
        <w:rPr>
          <w:rFonts w:cs="Arial"/>
          <w:b/>
          <w:color w:val="C00000"/>
          <w:sz w:val="36"/>
          <w:szCs w:val="36"/>
        </w:rPr>
        <w:tab/>
      </w:r>
      <w:hyperlink r:id="rId11" w:history="1">
        <w:r w:rsidR="00E111F9">
          <w:rPr>
            <w:rStyle w:val="Hyperlink"/>
            <w:rFonts w:cs="Arial"/>
            <w:color w:val="auto"/>
            <w:szCs w:val="24"/>
            <w:u w:val="none"/>
          </w:rPr>
          <w:t>IRF20/4489</w:t>
        </w:r>
      </w:hyperlink>
    </w:p>
    <w:p w14:paraId="46D3B3B1" w14:textId="77777777" w:rsidR="00571FD6" w:rsidRPr="00212015" w:rsidRDefault="00571FD6" w:rsidP="007612B9">
      <w:pPr>
        <w:pBdr>
          <w:between w:val="single" w:sz="8" w:space="1" w:color="C00000"/>
        </w:pBdr>
        <w:tabs>
          <w:tab w:val="right" w:pos="9000"/>
        </w:tabs>
        <w:ind w:left="181" w:hanging="181"/>
        <w:rPr>
          <w:rFonts w:cs="Arial"/>
          <w:color w:val="002060"/>
          <w:sz w:val="36"/>
          <w:szCs w:val="36"/>
        </w:rPr>
      </w:pPr>
      <w:r w:rsidRPr="007612B9">
        <w:rPr>
          <w:rFonts w:cs="Arial"/>
          <w:color w:val="C00000"/>
          <w:sz w:val="36"/>
          <w:szCs w:val="36"/>
        </w:rPr>
        <w:t>Plan</w:t>
      </w:r>
      <w:r w:rsidR="009F3BDE">
        <w:rPr>
          <w:rFonts w:cs="Arial"/>
          <w:color w:val="C00000"/>
          <w:sz w:val="36"/>
          <w:szCs w:val="36"/>
        </w:rPr>
        <w:t xml:space="preserve"> </w:t>
      </w:r>
      <w:r w:rsidR="00D26742">
        <w:rPr>
          <w:rFonts w:cs="Arial"/>
          <w:color w:val="C00000"/>
          <w:sz w:val="36"/>
          <w:szCs w:val="36"/>
        </w:rPr>
        <w:t>f</w:t>
      </w:r>
      <w:r w:rsidR="009F3BDE">
        <w:rPr>
          <w:rFonts w:cs="Arial"/>
          <w:color w:val="C00000"/>
          <w:sz w:val="36"/>
          <w:szCs w:val="36"/>
        </w:rPr>
        <w:t xml:space="preserve">inalisation </w:t>
      </w:r>
      <w:r w:rsidR="00D26742">
        <w:rPr>
          <w:rFonts w:cs="Arial"/>
          <w:color w:val="C00000"/>
          <w:sz w:val="36"/>
          <w:szCs w:val="36"/>
        </w:rPr>
        <w:t>r</w:t>
      </w:r>
      <w:r w:rsidRPr="007612B9">
        <w:rPr>
          <w:rFonts w:cs="Arial"/>
          <w:color w:val="C00000"/>
          <w:sz w:val="36"/>
          <w:szCs w:val="36"/>
        </w:rPr>
        <w:t>eport</w:t>
      </w:r>
    </w:p>
    <w:p w14:paraId="42A15B73" w14:textId="77777777" w:rsidR="00571FD6" w:rsidRPr="00A15C06" w:rsidRDefault="00571FD6" w:rsidP="00571FD6">
      <w:pPr>
        <w:tabs>
          <w:tab w:val="right" w:pos="9000"/>
        </w:tabs>
        <w:ind w:left="181" w:hanging="181"/>
        <w:rPr>
          <w:rFonts w:cs="Arial"/>
          <w:b/>
          <w:szCs w:val="22"/>
        </w:rPr>
      </w:pPr>
    </w:p>
    <w:p w14:paraId="433E35ED" w14:textId="77777777" w:rsidR="000D6C66" w:rsidRPr="000D6C66" w:rsidRDefault="000D6C66" w:rsidP="00A85EC6">
      <w:pPr>
        <w:tabs>
          <w:tab w:val="right" w:pos="9000"/>
        </w:tabs>
        <w:spacing w:before="120"/>
        <w:ind w:left="181" w:right="-35" w:hanging="181"/>
        <w:rPr>
          <w:rFonts w:cs="Arial"/>
          <w:szCs w:val="24"/>
        </w:rPr>
      </w:pPr>
      <w:r w:rsidRPr="000D6C66">
        <w:rPr>
          <w:rFonts w:cs="Arial"/>
          <w:b/>
          <w:szCs w:val="24"/>
        </w:rPr>
        <w:t xml:space="preserve">Local </w:t>
      </w:r>
      <w:r w:rsidR="00626F20">
        <w:rPr>
          <w:rFonts w:cs="Arial"/>
          <w:b/>
          <w:szCs w:val="24"/>
        </w:rPr>
        <w:t>g</w:t>
      </w:r>
      <w:r w:rsidRPr="000D6C66">
        <w:rPr>
          <w:rFonts w:cs="Arial"/>
          <w:b/>
          <w:szCs w:val="24"/>
        </w:rPr>
        <w:t xml:space="preserve">overnment </w:t>
      </w:r>
      <w:r w:rsidR="00626F20">
        <w:rPr>
          <w:rFonts w:cs="Arial"/>
          <w:b/>
          <w:szCs w:val="24"/>
        </w:rPr>
        <w:t>a</w:t>
      </w:r>
      <w:r w:rsidRPr="000D6C66">
        <w:rPr>
          <w:rFonts w:cs="Arial"/>
          <w:b/>
          <w:szCs w:val="24"/>
        </w:rPr>
        <w:t>rea</w:t>
      </w:r>
      <w:r w:rsidRPr="000D6C66">
        <w:rPr>
          <w:rFonts w:cs="Arial"/>
          <w:szCs w:val="24"/>
        </w:rPr>
        <w:t>:</w:t>
      </w:r>
      <w:r w:rsidR="00643BD7">
        <w:rPr>
          <w:rFonts w:cs="Arial"/>
          <w:szCs w:val="24"/>
        </w:rPr>
        <w:t xml:space="preserve"> Hornsby</w:t>
      </w:r>
      <w:r w:rsidR="00626F20">
        <w:rPr>
          <w:rFonts w:cs="Arial"/>
          <w:b/>
          <w:szCs w:val="24"/>
        </w:rPr>
        <w:tab/>
      </w:r>
    </w:p>
    <w:p w14:paraId="44A79532" w14:textId="77777777" w:rsidR="000D6C66" w:rsidRPr="000D6C66" w:rsidRDefault="000D6C66" w:rsidP="008E41F5">
      <w:pPr>
        <w:numPr>
          <w:ilvl w:val="0"/>
          <w:numId w:val="34"/>
        </w:numPr>
        <w:tabs>
          <w:tab w:val="left" w:pos="2520"/>
        </w:tabs>
        <w:spacing w:before="240"/>
        <w:ind w:right="-35"/>
        <w:rPr>
          <w:rFonts w:cs="Arial"/>
          <w:caps/>
          <w:szCs w:val="24"/>
        </w:rPr>
      </w:pPr>
      <w:r w:rsidRPr="000D6C66">
        <w:rPr>
          <w:rFonts w:cs="Arial"/>
          <w:b/>
          <w:bCs/>
          <w:caps/>
          <w:kern w:val="32"/>
          <w:szCs w:val="24"/>
        </w:rPr>
        <w:t xml:space="preserve">Name of </w:t>
      </w:r>
      <w:r w:rsidR="00750B90">
        <w:rPr>
          <w:rFonts w:cs="Arial"/>
          <w:b/>
          <w:bCs/>
          <w:caps/>
          <w:kern w:val="32"/>
          <w:szCs w:val="24"/>
        </w:rPr>
        <w:t>draft LEP</w:t>
      </w:r>
    </w:p>
    <w:p w14:paraId="6C137FAB" w14:textId="153B2C08" w:rsidR="000D6C66" w:rsidRPr="000D6C66" w:rsidRDefault="00643BD7" w:rsidP="00A85EC6">
      <w:pPr>
        <w:tabs>
          <w:tab w:val="left" w:pos="2520"/>
        </w:tabs>
        <w:spacing w:after="120"/>
        <w:ind w:right="-35"/>
        <w:rPr>
          <w:rFonts w:cs="Arial"/>
          <w:szCs w:val="24"/>
        </w:rPr>
      </w:pPr>
      <w:r w:rsidRPr="00643BD7">
        <w:rPr>
          <w:rFonts w:cs="Arial"/>
          <w:szCs w:val="24"/>
        </w:rPr>
        <w:t>Hornsby</w:t>
      </w:r>
      <w:r w:rsidR="000D6C66" w:rsidRPr="00643BD7">
        <w:rPr>
          <w:rFonts w:cs="Arial"/>
          <w:szCs w:val="24"/>
        </w:rPr>
        <w:t xml:space="preserve"> Loca</w:t>
      </w:r>
      <w:r w:rsidR="000D6C66" w:rsidRPr="000D6C66">
        <w:rPr>
          <w:rFonts w:cs="Arial"/>
          <w:szCs w:val="24"/>
        </w:rPr>
        <w:t xml:space="preserve">l Environmental Plan </w:t>
      </w:r>
      <w:r>
        <w:rPr>
          <w:rFonts w:cs="Arial"/>
          <w:szCs w:val="24"/>
        </w:rPr>
        <w:t>2013</w:t>
      </w:r>
      <w:r w:rsidR="000D6C66" w:rsidRPr="000D6C66">
        <w:rPr>
          <w:rFonts w:cs="Arial"/>
          <w:szCs w:val="24"/>
        </w:rPr>
        <w:t xml:space="preserve"> </w:t>
      </w:r>
      <w:r w:rsidR="006168C2">
        <w:rPr>
          <w:rFonts w:cs="Arial"/>
          <w:szCs w:val="24"/>
        </w:rPr>
        <w:t>(</w:t>
      </w:r>
      <w:r w:rsidR="000D6C66" w:rsidRPr="000D6C66">
        <w:rPr>
          <w:rFonts w:cs="Arial"/>
          <w:szCs w:val="24"/>
        </w:rPr>
        <w:t>Amendment No</w:t>
      </w:r>
      <w:r w:rsidR="00626F20">
        <w:rPr>
          <w:rFonts w:cs="Arial"/>
          <w:szCs w:val="24"/>
        </w:rPr>
        <w:t xml:space="preserve"> </w:t>
      </w:r>
      <w:r w:rsidR="00BD6FAE">
        <w:rPr>
          <w:rFonts w:cs="Arial"/>
          <w:szCs w:val="24"/>
        </w:rPr>
        <w:t>11</w:t>
      </w:r>
      <w:r w:rsidR="006168C2" w:rsidRPr="00BD6FAE">
        <w:rPr>
          <w:rFonts w:cs="Arial"/>
          <w:szCs w:val="24"/>
        </w:rPr>
        <w:t>)</w:t>
      </w:r>
      <w:r w:rsidR="00CA47C4">
        <w:rPr>
          <w:rFonts w:cs="Arial"/>
          <w:szCs w:val="24"/>
        </w:rPr>
        <w:t>.</w:t>
      </w:r>
    </w:p>
    <w:p w14:paraId="4315C186" w14:textId="77777777" w:rsidR="000D6C66" w:rsidRPr="000D6C66" w:rsidRDefault="00D13834" w:rsidP="008E41F5">
      <w:pPr>
        <w:numPr>
          <w:ilvl w:val="0"/>
          <w:numId w:val="34"/>
        </w:numPr>
        <w:tabs>
          <w:tab w:val="left" w:pos="2520"/>
        </w:tabs>
        <w:spacing w:before="240"/>
        <w:ind w:right="-35"/>
        <w:rPr>
          <w:rFonts w:cs="Arial"/>
          <w:caps/>
          <w:szCs w:val="24"/>
        </w:rPr>
      </w:pPr>
      <w:r>
        <w:rPr>
          <w:rFonts w:cs="Arial"/>
          <w:b/>
          <w:bCs/>
          <w:caps/>
          <w:kern w:val="32"/>
          <w:szCs w:val="24"/>
        </w:rPr>
        <w:t xml:space="preserve">SITE </w:t>
      </w:r>
      <w:r w:rsidR="000D6C66" w:rsidRPr="000D6C66">
        <w:rPr>
          <w:rFonts w:cs="Arial"/>
          <w:b/>
          <w:bCs/>
          <w:caps/>
          <w:kern w:val="32"/>
          <w:szCs w:val="24"/>
        </w:rPr>
        <w:t>Description</w:t>
      </w:r>
    </w:p>
    <w:p w14:paraId="55D4234F" w14:textId="026EB186" w:rsidR="00CA47C4" w:rsidRPr="00836377" w:rsidRDefault="000D6C66" w:rsidP="00A85EC6">
      <w:pPr>
        <w:spacing w:after="120"/>
        <w:ind w:right="-35"/>
        <w:rPr>
          <w:rFonts w:cs="Arial"/>
          <w:szCs w:val="24"/>
        </w:rPr>
      </w:pPr>
      <w:r w:rsidRPr="000D6C66">
        <w:rPr>
          <w:rFonts w:cs="Arial"/>
          <w:szCs w:val="24"/>
        </w:rPr>
        <w:t xml:space="preserve">The </w:t>
      </w:r>
      <w:r w:rsidR="00FC495E">
        <w:rPr>
          <w:rFonts w:cs="Arial"/>
          <w:szCs w:val="24"/>
        </w:rPr>
        <w:t>P</w:t>
      </w:r>
      <w:r w:rsidRPr="000D6C66">
        <w:rPr>
          <w:rFonts w:cs="Arial"/>
          <w:szCs w:val="24"/>
        </w:rPr>
        <w:t xml:space="preserve">lanning </w:t>
      </w:r>
      <w:r w:rsidR="00FC495E">
        <w:rPr>
          <w:rFonts w:cs="Arial"/>
          <w:szCs w:val="24"/>
        </w:rPr>
        <w:t>P</w:t>
      </w:r>
      <w:r w:rsidRPr="000D6C66">
        <w:rPr>
          <w:rFonts w:cs="Arial"/>
          <w:szCs w:val="24"/>
        </w:rPr>
        <w:t xml:space="preserve">roposal </w:t>
      </w:r>
      <w:r w:rsidR="00B17C69" w:rsidRPr="002412E3">
        <w:rPr>
          <w:rFonts w:cs="Arial"/>
          <w:b/>
          <w:bCs/>
          <w:szCs w:val="24"/>
        </w:rPr>
        <w:t>(Attachment A)</w:t>
      </w:r>
      <w:r w:rsidR="00B17C69">
        <w:rPr>
          <w:rFonts w:cs="Arial"/>
          <w:szCs w:val="24"/>
        </w:rPr>
        <w:t xml:space="preserve"> </w:t>
      </w:r>
      <w:r w:rsidR="00C97507">
        <w:rPr>
          <w:rFonts w:cs="Arial"/>
          <w:szCs w:val="24"/>
        </w:rPr>
        <w:t xml:space="preserve">is a housekeeping amendment that </w:t>
      </w:r>
      <w:r w:rsidRPr="000D6C66">
        <w:rPr>
          <w:rFonts w:cs="Arial"/>
          <w:szCs w:val="24"/>
        </w:rPr>
        <w:t xml:space="preserve">applies to </w:t>
      </w:r>
      <w:r w:rsidR="002D7FA3">
        <w:rPr>
          <w:rFonts w:cs="Arial"/>
          <w:szCs w:val="24"/>
        </w:rPr>
        <w:t xml:space="preserve">various sites </w:t>
      </w:r>
      <w:r w:rsidR="00BC1039">
        <w:rPr>
          <w:rFonts w:cs="Arial"/>
          <w:szCs w:val="24"/>
        </w:rPr>
        <w:t>with</w:t>
      </w:r>
      <w:r w:rsidR="002D7FA3">
        <w:rPr>
          <w:rFonts w:cs="Arial"/>
          <w:szCs w:val="24"/>
        </w:rPr>
        <w:t xml:space="preserve">in the </w:t>
      </w:r>
      <w:r w:rsidR="002D7FA3" w:rsidRPr="00BC1039">
        <w:rPr>
          <w:rFonts w:cs="Arial"/>
          <w:szCs w:val="24"/>
        </w:rPr>
        <w:t>Hornsby LGA</w:t>
      </w:r>
      <w:r w:rsidR="00BC1039" w:rsidRPr="00BC1039">
        <w:rPr>
          <w:rFonts w:cs="Arial"/>
          <w:szCs w:val="24"/>
        </w:rPr>
        <w:t>, and are sum</w:t>
      </w:r>
      <w:r w:rsidR="00BC1039" w:rsidRPr="00836377">
        <w:rPr>
          <w:rFonts w:cs="Arial"/>
          <w:szCs w:val="24"/>
        </w:rPr>
        <w:t>marised as follows:</w:t>
      </w:r>
    </w:p>
    <w:p w14:paraId="2EA22EBB" w14:textId="014C4D26" w:rsidR="00BC1039" w:rsidRPr="00BC1039" w:rsidRDefault="00BC1039" w:rsidP="00A85EC6">
      <w:pPr>
        <w:spacing w:after="120"/>
        <w:ind w:right="-35"/>
        <w:rPr>
          <w:rFonts w:cs="Arial"/>
          <w:szCs w:val="24"/>
        </w:rPr>
      </w:pPr>
      <w:r w:rsidRPr="00BC1039">
        <w:rPr>
          <w:rFonts w:cs="Arial"/>
          <w:szCs w:val="24"/>
        </w:rPr>
        <w:t>Sites involving the rezoning of land:</w:t>
      </w:r>
    </w:p>
    <w:p w14:paraId="570595BA" w14:textId="3DCEBE20" w:rsidR="00BC1039" w:rsidRPr="0007048D" w:rsidRDefault="00BC1039" w:rsidP="00BC1039">
      <w:pPr>
        <w:pStyle w:val="ListParagraph"/>
        <w:numPr>
          <w:ilvl w:val="0"/>
          <w:numId w:val="41"/>
        </w:numPr>
        <w:spacing w:after="120"/>
        <w:ind w:right="-35"/>
        <w:rPr>
          <w:rFonts w:ascii="Arial" w:hAnsi="Arial" w:cs="Arial"/>
          <w:sz w:val="24"/>
          <w:szCs w:val="24"/>
        </w:rPr>
      </w:pPr>
      <w:r w:rsidRPr="0007048D">
        <w:rPr>
          <w:rFonts w:ascii="Arial" w:hAnsi="Arial" w:cs="Arial"/>
          <w:sz w:val="24"/>
          <w:szCs w:val="24"/>
        </w:rPr>
        <w:t>105 Peter Close, Hornsby Heights</w:t>
      </w:r>
    </w:p>
    <w:p w14:paraId="3F60B1FC" w14:textId="341D6862" w:rsidR="00BC1039" w:rsidRPr="0007048D" w:rsidRDefault="00BC1039" w:rsidP="00BC1039">
      <w:pPr>
        <w:pStyle w:val="ListParagraph"/>
        <w:numPr>
          <w:ilvl w:val="0"/>
          <w:numId w:val="41"/>
        </w:numPr>
        <w:spacing w:after="120"/>
        <w:ind w:right="-35"/>
        <w:rPr>
          <w:rFonts w:ascii="Arial" w:hAnsi="Arial" w:cs="Arial"/>
          <w:sz w:val="24"/>
          <w:szCs w:val="24"/>
        </w:rPr>
      </w:pPr>
      <w:r w:rsidRPr="0007048D">
        <w:rPr>
          <w:rFonts w:ascii="Arial" w:hAnsi="Arial" w:cs="Arial"/>
          <w:sz w:val="24"/>
          <w:szCs w:val="24"/>
        </w:rPr>
        <w:t>5 Arcadia Road, Galston</w:t>
      </w:r>
    </w:p>
    <w:p w14:paraId="673A4526" w14:textId="277C014C" w:rsidR="00BC1039" w:rsidRPr="0007048D" w:rsidRDefault="00BC1039" w:rsidP="00BC1039">
      <w:pPr>
        <w:pStyle w:val="ListParagraph"/>
        <w:numPr>
          <w:ilvl w:val="0"/>
          <w:numId w:val="41"/>
        </w:numPr>
        <w:spacing w:after="120"/>
        <w:ind w:right="-35"/>
        <w:rPr>
          <w:rFonts w:ascii="Arial" w:hAnsi="Arial" w:cs="Arial"/>
          <w:sz w:val="24"/>
          <w:szCs w:val="24"/>
        </w:rPr>
      </w:pPr>
      <w:proofErr w:type="spellStart"/>
      <w:r w:rsidRPr="0007048D">
        <w:rPr>
          <w:rFonts w:ascii="Arial" w:hAnsi="Arial" w:cs="Arial"/>
          <w:sz w:val="24"/>
          <w:szCs w:val="24"/>
        </w:rPr>
        <w:t>Coba</w:t>
      </w:r>
      <w:proofErr w:type="spellEnd"/>
      <w:r w:rsidRPr="0007048D">
        <w:rPr>
          <w:rFonts w:ascii="Arial" w:hAnsi="Arial" w:cs="Arial"/>
          <w:sz w:val="24"/>
          <w:szCs w:val="24"/>
        </w:rPr>
        <w:t xml:space="preserve"> Point, Berowra Creek (Lot 1 DP 727931)</w:t>
      </w:r>
    </w:p>
    <w:p w14:paraId="5B4A835F" w14:textId="6C9B0839" w:rsidR="00BC1039" w:rsidRPr="00836377" w:rsidRDefault="00BC1039" w:rsidP="00BC1039">
      <w:pPr>
        <w:spacing w:after="120"/>
        <w:ind w:right="-35"/>
        <w:rPr>
          <w:rFonts w:cs="Arial"/>
          <w:szCs w:val="24"/>
        </w:rPr>
      </w:pPr>
      <w:r w:rsidRPr="00BC1039">
        <w:rPr>
          <w:rFonts w:cs="Arial"/>
          <w:szCs w:val="24"/>
        </w:rPr>
        <w:t>Site i</w:t>
      </w:r>
      <w:r w:rsidRPr="00836377">
        <w:rPr>
          <w:rFonts w:cs="Arial"/>
          <w:szCs w:val="24"/>
        </w:rPr>
        <w:t>nvolving an Additional Permitted Use:</w:t>
      </w:r>
    </w:p>
    <w:p w14:paraId="3CCADD5B" w14:textId="42422D88" w:rsidR="00CA47C4" w:rsidRPr="00E111F9" w:rsidRDefault="00BC1039" w:rsidP="0007048D">
      <w:pPr>
        <w:pStyle w:val="ListParagraph"/>
        <w:numPr>
          <w:ilvl w:val="0"/>
          <w:numId w:val="41"/>
        </w:numPr>
        <w:spacing w:after="120"/>
        <w:ind w:right="-35"/>
        <w:rPr>
          <w:rFonts w:cs="Arial"/>
          <w:szCs w:val="24"/>
        </w:rPr>
      </w:pPr>
      <w:r w:rsidRPr="0007048D">
        <w:rPr>
          <w:rFonts w:ascii="Arial" w:hAnsi="Arial" w:cs="Arial"/>
          <w:sz w:val="24"/>
          <w:szCs w:val="24"/>
        </w:rPr>
        <w:t>344 Galston Road, Galston</w:t>
      </w:r>
    </w:p>
    <w:p w14:paraId="6CB0E2C6" w14:textId="03BD3729" w:rsidR="00BC446A" w:rsidRDefault="00BC446A" w:rsidP="00A85EC6">
      <w:pPr>
        <w:spacing w:after="120"/>
        <w:ind w:right="-35"/>
        <w:rPr>
          <w:rFonts w:cs="Arial"/>
          <w:szCs w:val="24"/>
        </w:rPr>
      </w:pPr>
      <w:r>
        <w:rPr>
          <w:rFonts w:cs="Arial"/>
          <w:szCs w:val="24"/>
        </w:rPr>
        <w:t xml:space="preserve">The </w:t>
      </w:r>
      <w:r w:rsidR="00CA47C4" w:rsidRPr="00BC1039">
        <w:rPr>
          <w:rFonts w:cs="Arial"/>
          <w:szCs w:val="24"/>
        </w:rPr>
        <w:t xml:space="preserve">properties affected by the </w:t>
      </w:r>
      <w:r w:rsidR="00BC1039" w:rsidRPr="00836377">
        <w:rPr>
          <w:rFonts w:cs="Arial"/>
          <w:szCs w:val="24"/>
        </w:rPr>
        <w:t xml:space="preserve">38 </w:t>
      </w:r>
      <w:r w:rsidR="00CA47C4" w:rsidRPr="00836377">
        <w:rPr>
          <w:rFonts w:cs="Arial"/>
          <w:szCs w:val="24"/>
        </w:rPr>
        <w:t xml:space="preserve">Schedule 5 Heritage amendments </w:t>
      </w:r>
      <w:r>
        <w:rPr>
          <w:rFonts w:cs="Arial"/>
          <w:szCs w:val="24"/>
        </w:rPr>
        <w:t>as detailed in</w:t>
      </w:r>
      <w:r w:rsidR="00CA47C4" w:rsidRPr="00836377">
        <w:rPr>
          <w:rFonts w:cs="Arial"/>
          <w:szCs w:val="24"/>
        </w:rPr>
        <w:t xml:space="preserve"> </w:t>
      </w:r>
      <w:r w:rsidR="00CA47C4" w:rsidRPr="0007048D">
        <w:rPr>
          <w:rFonts w:cs="Arial"/>
          <w:b/>
          <w:bCs/>
          <w:szCs w:val="24"/>
        </w:rPr>
        <w:t>Attachment C1</w:t>
      </w:r>
      <w:r w:rsidR="00BC1039" w:rsidRPr="00BC1039">
        <w:rPr>
          <w:rFonts w:cs="Arial"/>
          <w:szCs w:val="24"/>
        </w:rPr>
        <w:t>.</w:t>
      </w:r>
    </w:p>
    <w:p w14:paraId="3FBF88A0" w14:textId="63C071A4" w:rsidR="000554F8" w:rsidRPr="00DF10D5" w:rsidRDefault="00BC446A" w:rsidP="00A85EC6">
      <w:pPr>
        <w:spacing w:after="120"/>
        <w:ind w:right="-35"/>
        <w:rPr>
          <w:rFonts w:cs="Arial"/>
          <w:szCs w:val="24"/>
        </w:rPr>
      </w:pPr>
      <w:r>
        <w:rPr>
          <w:rFonts w:cs="Arial"/>
          <w:szCs w:val="24"/>
        </w:rPr>
        <w:t>The</w:t>
      </w:r>
      <w:r w:rsidR="000A6B40">
        <w:rPr>
          <w:rFonts w:cs="Arial"/>
          <w:szCs w:val="24"/>
        </w:rPr>
        <w:t xml:space="preserve"> </w:t>
      </w:r>
      <w:r w:rsidR="00CA47C4" w:rsidRPr="00836377">
        <w:rPr>
          <w:rFonts w:cs="Arial"/>
          <w:szCs w:val="24"/>
        </w:rPr>
        <w:t xml:space="preserve">properties affected by the height of building amendment </w:t>
      </w:r>
      <w:r>
        <w:rPr>
          <w:rFonts w:cs="Arial"/>
          <w:szCs w:val="24"/>
        </w:rPr>
        <w:t>as detailed in</w:t>
      </w:r>
      <w:r w:rsidR="00CA47C4" w:rsidRPr="00DF10D5">
        <w:rPr>
          <w:rFonts w:cs="Arial"/>
          <w:szCs w:val="24"/>
        </w:rPr>
        <w:t xml:space="preserve"> </w:t>
      </w:r>
      <w:r w:rsidR="00CA47C4" w:rsidRPr="0007048D">
        <w:rPr>
          <w:rFonts w:cs="Arial"/>
          <w:b/>
          <w:bCs/>
          <w:szCs w:val="24"/>
        </w:rPr>
        <w:t>Attachment C2</w:t>
      </w:r>
      <w:r w:rsidR="00CA47C4" w:rsidRPr="00BC1039">
        <w:rPr>
          <w:rFonts w:cs="Arial"/>
          <w:szCs w:val="24"/>
        </w:rPr>
        <w:t>.</w:t>
      </w:r>
    </w:p>
    <w:p w14:paraId="1675228A" w14:textId="0E9EB723" w:rsidR="000D6C66" w:rsidRPr="000220DF" w:rsidRDefault="000D6C66" w:rsidP="008E41F5">
      <w:pPr>
        <w:pStyle w:val="ListParagraph"/>
        <w:numPr>
          <w:ilvl w:val="0"/>
          <w:numId w:val="34"/>
        </w:numPr>
        <w:spacing w:before="240"/>
        <w:ind w:right="-35"/>
        <w:rPr>
          <w:rFonts w:ascii="Arial" w:hAnsi="Arial" w:cs="Arial"/>
          <w:b/>
          <w:bCs/>
          <w:caps/>
          <w:kern w:val="32"/>
          <w:sz w:val="24"/>
          <w:szCs w:val="24"/>
        </w:rPr>
      </w:pPr>
      <w:r w:rsidRPr="000220DF">
        <w:rPr>
          <w:rFonts w:ascii="Arial" w:hAnsi="Arial" w:cs="Arial"/>
          <w:b/>
          <w:bCs/>
          <w:caps/>
          <w:kern w:val="32"/>
          <w:sz w:val="24"/>
          <w:szCs w:val="24"/>
        </w:rPr>
        <w:t>Purpose of Plan</w:t>
      </w:r>
    </w:p>
    <w:p w14:paraId="26BAC93F" w14:textId="10729BBC" w:rsidR="000D6C66" w:rsidRPr="00913FF7" w:rsidRDefault="000D6C66" w:rsidP="00A85EC6">
      <w:pPr>
        <w:spacing w:after="120"/>
        <w:ind w:right="-35"/>
        <w:rPr>
          <w:szCs w:val="24"/>
        </w:rPr>
      </w:pPr>
      <w:r w:rsidRPr="000D6C66">
        <w:rPr>
          <w:szCs w:val="24"/>
        </w:rPr>
        <w:t xml:space="preserve">The draft </w:t>
      </w:r>
      <w:r w:rsidR="00750B90">
        <w:rPr>
          <w:szCs w:val="24"/>
        </w:rPr>
        <w:t>LEP</w:t>
      </w:r>
      <w:r w:rsidRPr="000D6C66">
        <w:rPr>
          <w:szCs w:val="24"/>
        </w:rPr>
        <w:t xml:space="preserve"> seeks to:</w:t>
      </w:r>
      <w:r w:rsidR="00323D98">
        <w:rPr>
          <w:szCs w:val="24"/>
        </w:rPr>
        <w:t xml:space="preserve"> </w:t>
      </w:r>
    </w:p>
    <w:p w14:paraId="199145B5" w14:textId="21DBF95E" w:rsidR="00AE306B" w:rsidRPr="00AE306B" w:rsidRDefault="00AE306B" w:rsidP="00AE306B">
      <w:pPr>
        <w:numPr>
          <w:ilvl w:val="0"/>
          <w:numId w:val="35"/>
        </w:numPr>
        <w:tabs>
          <w:tab w:val="left" w:pos="709"/>
        </w:tabs>
        <w:spacing w:before="120" w:after="120"/>
        <w:ind w:right="-35"/>
        <w:rPr>
          <w:szCs w:val="24"/>
        </w:rPr>
      </w:pPr>
      <w:bookmarkStart w:id="0" w:name="_Hlk51684755"/>
      <w:r w:rsidRPr="00AE306B">
        <w:rPr>
          <w:szCs w:val="24"/>
        </w:rPr>
        <w:t xml:space="preserve">Resolve </w:t>
      </w:r>
      <w:r w:rsidR="0026164A">
        <w:rPr>
          <w:szCs w:val="24"/>
        </w:rPr>
        <w:t>38</w:t>
      </w:r>
      <w:r w:rsidRPr="00AE306B">
        <w:rPr>
          <w:szCs w:val="24"/>
        </w:rPr>
        <w:t xml:space="preserve"> errors and/or anomalies identified in Schedule 5 Environmental Heritage of the LEP;</w:t>
      </w:r>
    </w:p>
    <w:p w14:paraId="752BE739" w14:textId="77777777" w:rsidR="00AE306B" w:rsidRPr="00AE306B" w:rsidRDefault="00AE306B" w:rsidP="00AE306B">
      <w:pPr>
        <w:numPr>
          <w:ilvl w:val="0"/>
          <w:numId w:val="35"/>
        </w:numPr>
        <w:tabs>
          <w:tab w:val="left" w:pos="709"/>
        </w:tabs>
        <w:spacing w:before="120" w:after="120"/>
        <w:ind w:right="-35"/>
        <w:rPr>
          <w:szCs w:val="24"/>
        </w:rPr>
      </w:pPr>
      <w:r w:rsidRPr="00AE306B">
        <w:rPr>
          <w:szCs w:val="24"/>
        </w:rPr>
        <w:t>Rezone two (2) sites to reflect the historical and existing use of each site;</w:t>
      </w:r>
    </w:p>
    <w:p w14:paraId="305277EF" w14:textId="77777777" w:rsidR="00AE306B" w:rsidRPr="00AE306B" w:rsidRDefault="00AE306B" w:rsidP="0007048D">
      <w:pPr>
        <w:numPr>
          <w:ilvl w:val="1"/>
          <w:numId w:val="35"/>
        </w:numPr>
        <w:tabs>
          <w:tab w:val="left" w:pos="709"/>
        </w:tabs>
        <w:spacing w:before="120" w:after="120"/>
        <w:ind w:right="-35"/>
        <w:rPr>
          <w:szCs w:val="24"/>
        </w:rPr>
      </w:pPr>
      <w:r w:rsidRPr="00AE306B">
        <w:rPr>
          <w:szCs w:val="24"/>
        </w:rPr>
        <w:t>1-5 Peter Close, Hornsby Heights – Rezone land from B1 Neighbourhood Centre to R2 Low Density Residential;</w:t>
      </w:r>
    </w:p>
    <w:p w14:paraId="66CFD9F9" w14:textId="77777777" w:rsidR="00AE306B" w:rsidRPr="00AE306B" w:rsidRDefault="00AE306B" w:rsidP="0007048D">
      <w:pPr>
        <w:numPr>
          <w:ilvl w:val="1"/>
          <w:numId w:val="35"/>
        </w:numPr>
        <w:tabs>
          <w:tab w:val="left" w:pos="709"/>
        </w:tabs>
        <w:spacing w:before="120" w:after="120"/>
        <w:ind w:right="-35"/>
        <w:rPr>
          <w:szCs w:val="24"/>
        </w:rPr>
      </w:pPr>
      <w:r w:rsidRPr="00AE306B">
        <w:rPr>
          <w:szCs w:val="24"/>
        </w:rPr>
        <w:t>5 Arcadia Road, Galston – Rezone land from B1 Neighbourhood Centre to R2 Low Density Residential;</w:t>
      </w:r>
    </w:p>
    <w:p w14:paraId="4EEA109B" w14:textId="77777777" w:rsidR="00AE306B" w:rsidRPr="00AE306B" w:rsidRDefault="00AE306B" w:rsidP="00AE306B">
      <w:pPr>
        <w:numPr>
          <w:ilvl w:val="0"/>
          <w:numId w:val="35"/>
        </w:numPr>
        <w:tabs>
          <w:tab w:val="left" w:pos="709"/>
        </w:tabs>
        <w:spacing w:before="120" w:after="120"/>
        <w:ind w:right="-35"/>
        <w:rPr>
          <w:szCs w:val="24"/>
        </w:rPr>
      </w:pPr>
      <w:r w:rsidRPr="00AE306B">
        <w:rPr>
          <w:szCs w:val="24"/>
        </w:rPr>
        <w:t xml:space="preserve">Rezone the land at </w:t>
      </w:r>
      <w:proofErr w:type="spellStart"/>
      <w:r w:rsidRPr="00AE306B">
        <w:rPr>
          <w:szCs w:val="24"/>
        </w:rPr>
        <w:t>Coba</w:t>
      </w:r>
      <w:proofErr w:type="spellEnd"/>
      <w:r w:rsidRPr="00AE306B">
        <w:rPr>
          <w:szCs w:val="24"/>
        </w:rPr>
        <w:t xml:space="preserve"> Point, Berowra Creek (Lot 1 DP 727931) from E4 Environmental Living to E1 National Parks and Nature Reserves, in response to a notice from the National Parks and Wildlife Service that this land is now an extension to the </w:t>
      </w:r>
      <w:proofErr w:type="spellStart"/>
      <w:r w:rsidRPr="00AE306B">
        <w:rPr>
          <w:szCs w:val="24"/>
        </w:rPr>
        <w:t>Marramarra</w:t>
      </w:r>
      <w:proofErr w:type="spellEnd"/>
      <w:r w:rsidRPr="00AE306B">
        <w:rPr>
          <w:szCs w:val="24"/>
        </w:rPr>
        <w:t xml:space="preserve"> National Park; </w:t>
      </w:r>
    </w:p>
    <w:p w14:paraId="048BDA69" w14:textId="77777777" w:rsidR="00AE306B" w:rsidRPr="00AE306B" w:rsidRDefault="00AE306B" w:rsidP="00AE306B">
      <w:pPr>
        <w:numPr>
          <w:ilvl w:val="0"/>
          <w:numId w:val="35"/>
        </w:numPr>
        <w:tabs>
          <w:tab w:val="left" w:pos="709"/>
        </w:tabs>
        <w:spacing w:before="120" w:after="120"/>
        <w:ind w:right="-35"/>
        <w:rPr>
          <w:szCs w:val="24"/>
        </w:rPr>
      </w:pPr>
      <w:r w:rsidRPr="00AE306B">
        <w:rPr>
          <w:szCs w:val="24"/>
        </w:rPr>
        <w:t xml:space="preserve">Amend Schedule 1 – Additional permitted use, to include ‘restaurants and cafes’ as additional permitted uses to the land at 344 Galston Road, Galston of that will reflect the current and longstanding use at the site; </w:t>
      </w:r>
    </w:p>
    <w:p w14:paraId="0446A84B" w14:textId="77777777" w:rsidR="00AE306B" w:rsidRPr="00AE306B" w:rsidRDefault="00AE306B" w:rsidP="00AE306B">
      <w:pPr>
        <w:numPr>
          <w:ilvl w:val="0"/>
          <w:numId w:val="35"/>
        </w:numPr>
        <w:tabs>
          <w:tab w:val="left" w:pos="709"/>
        </w:tabs>
        <w:spacing w:before="120" w:after="120"/>
        <w:ind w:right="-35"/>
        <w:rPr>
          <w:szCs w:val="24"/>
        </w:rPr>
      </w:pPr>
      <w:r w:rsidRPr="00AE306B">
        <w:rPr>
          <w:szCs w:val="24"/>
        </w:rPr>
        <w:t>Extend the application of Clause 6.8 – Design Excellence to also include attached dwellings, multi-dwelling housing, shop-top housing and residential flat buildings regardless of height; and</w:t>
      </w:r>
    </w:p>
    <w:p w14:paraId="367EC8DD" w14:textId="27F70483" w:rsidR="00787943" w:rsidRDefault="00AE306B" w:rsidP="00787943">
      <w:pPr>
        <w:numPr>
          <w:ilvl w:val="0"/>
          <w:numId w:val="35"/>
        </w:numPr>
        <w:tabs>
          <w:tab w:val="left" w:pos="709"/>
        </w:tabs>
        <w:spacing w:before="120" w:after="120"/>
        <w:ind w:right="-35"/>
        <w:rPr>
          <w:szCs w:val="24"/>
        </w:rPr>
      </w:pPr>
      <w:r w:rsidRPr="00AE306B">
        <w:rPr>
          <w:szCs w:val="24"/>
        </w:rPr>
        <w:lastRenderedPageBreak/>
        <w:t>Reduce the height of building control for all land with a maximum building height of 17.5m, to a maximum height of 16.5m to provide better architectural outcomes for five storey developments by removing the ability to develop ‘mezzanine’ levels that are top-heavy in nature and with lower floor-to-ceiling heights.</w:t>
      </w:r>
    </w:p>
    <w:p w14:paraId="4A74DCB2" w14:textId="24FDB9D5" w:rsidR="00787943" w:rsidRPr="000A6B40" w:rsidRDefault="00787943" w:rsidP="00883094">
      <w:pPr>
        <w:tabs>
          <w:tab w:val="left" w:pos="709"/>
        </w:tabs>
        <w:spacing w:before="120" w:after="120"/>
        <w:ind w:right="-35"/>
        <w:rPr>
          <w:szCs w:val="24"/>
        </w:rPr>
      </w:pPr>
      <w:r w:rsidRPr="000A6B40">
        <w:rPr>
          <w:szCs w:val="24"/>
        </w:rPr>
        <w:t xml:space="preserve">This Planning Proposal has been prepared and submitted to align with Hornsby Shire Council’s Local Strategic Planning Statement (LSPS) and the LSPS Review Program in collaboration with the Greater Sydney Commission (GSC) and the Department. </w:t>
      </w:r>
    </w:p>
    <w:bookmarkEnd w:id="0"/>
    <w:p w14:paraId="4710A0AF" w14:textId="77777777" w:rsidR="000D6C66" w:rsidRPr="000D6C66" w:rsidRDefault="000D6C66" w:rsidP="008E41F5">
      <w:pPr>
        <w:numPr>
          <w:ilvl w:val="0"/>
          <w:numId w:val="34"/>
        </w:numPr>
        <w:tabs>
          <w:tab w:val="left" w:pos="2520"/>
        </w:tabs>
        <w:spacing w:before="240"/>
        <w:ind w:right="-35"/>
        <w:rPr>
          <w:rFonts w:cs="Arial"/>
          <w:b/>
          <w:bCs/>
          <w:caps/>
          <w:kern w:val="32"/>
          <w:szCs w:val="24"/>
        </w:rPr>
      </w:pPr>
      <w:r w:rsidRPr="000D6C66">
        <w:rPr>
          <w:rFonts w:cs="Arial"/>
          <w:b/>
          <w:bCs/>
          <w:caps/>
          <w:kern w:val="32"/>
          <w:szCs w:val="24"/>
        </w:rPr>
        <w:t>State Electorate and Local Member</w:t>
      </w:r>
    </w:p>
    <w:p w14:paraId="63F13822" w14:textId="7987EC4B" w:rsidR="000D6C66" w:rsidRPr="000D6C66" w:rsidRDefault="000D6C66" w:rsidP="00A85EC6">
      <w:pPr>
        <w:tabs>
          <w:tab w:val="left" w:pos="8460"/>
        </w:tabs>
        <w:spacing w:after="120"/>
        <w:ind w:right="-35"/>
        <w:rPr>
          <w:rFonts w:cs="Arial"/>
          <w:szCs w:val="24"/>
        </w:rPr>
      </w:pPr>
      <w:r w:rsidRPr="000D6C66">
        <w:rPr>
          <w:rFonts w:cs="Arial"/>
          <w:szCs w:val="24"/>
        </w:rPr>
        <w:t>The site</w:t>
      </w:r>
      <w:r w:rsidR="00AD6831">
        <w:rPr>
          <w:rFonts w:cs="Arial"/>
          <w:szCs w:val="24"/>
        </w:rPr>
        <w:t>s</w:t>
      </w:r>
      <w:r w:rsidRPr="000D6C66">
        <w:rPr>
          <w:rFonts w:cs="Arial"/>
          <w:szCs w:val="24"/>
        </w:rPr>
        <w:t xml:space="preserve"> fall within </w:t>
      </w:r>
      <w:r w:rsidRPr="00AD6831">
        <w:rPr>
          <w:rFonts w:cs="Arial"/>
          <w:szCs w:val="24"/>
        </w:rPr>
        <w:t xml:space="preserve">the </w:t>
      </w:r>
      <w:r w:rsidR="00B07E4A" w:rsidRPr="00AD6831">
        <w:rPr>
          <w:rFonts w:cs="Arial"/>
          <w:szCs w:val="24"/>
        </w:rPr>
        <w:t>Hornsby</w:t>
      </w:r>
      <w:r w:rsidRPr="00AD6831">
        <w:rPr>
          <w:rFonts w:cs="Arial"/>
          <w:szCs w:val="24"/>
        </w:rPr>
        <w:t xml:space="preserve"> </w:t>
      </w:r>
      <w:r w:rsidR="00492E52" w:rsidRPr="00AD6831">
        <w:rPr>
          <w:rFonts w:cs="Arial"/>
          <w:szCs w:val="24"/>
        </w:rPr>
        <w:t>s</w:t>
      </w:r>
      <w:r w:rsidR="00FB5A8C" w:rsidRPr="00AD6831">
        <w:rPr>
          <w:rFonts w:cs="Arial"/>
          <w:szCs w:val="24"/>
        </w:rPr>
        <w:t xml:space="preserve">tate </w:t>
      </w:r>
      <w:r w:rsidR="00492E52" w:rsidRPr="00AD6831">
        <w:rPr>
          <w:rFonts w:cs="Arial"/>
          <w:szCs w:val="24"/>
        </w:rPr>
        <w:t>e</w:t>
      </w:r>
      <w:r w:rsidRPr="00AD6831">
        <w:rPr>
          <w:rFonts w:cs="Arial"/>
          <w:szCs w:val="24"/>
        </w:rPr>
        <w:t xml:space="preserve">lectorate. </w:t>
      </w:r>
      <w:r w:rsidR="002E4ACF" w:rsidRPr="00AD6831">
        <w:rPr>
          <w:rFonts w:cs="Arial"/>
          <w:szCs w:val="24"/>
        </w:rPr>
        <w:t>Matt Kean</w:t>
      </w:r>
      <w:r w:rsidRPr="00AD6831">
        <w:rPr>
          <w:rFonts w:cs="Arial"/>
          <w:szCs w:val="24"/>
        </w:rPr>
        <w:t xml:space="preserve"> </w:t>
      </w:r>
      <w:r w:rsidRPr="000D6C66">
        <w:rPr>
          <w:rFonts w:cs="Arial"/>
          <w:szCs w:val="24"/>
        </w:rPr>
        <w:t>MP is the State Member</w:t>
      </w:r>
      <w:r w:rsidRPr="00537037">
        <w:rPr>
          <w:rFonts w:cs="Arial"/>
          <w:szCs w:val="24"/>
        </w:rPr>
        <w:t>.</w:t>
      </w:r>
    </w:p>
    <w:p w14:paraId="38035308" w14:textId="660B15CB" w:rsidR="000D6C66" w:rsidRPr="000D6C66" w:rsidRDefault="00FB5A8C" w:rsidP="00A85EC6">
      <w:pPr>
        <w:tabs>
          <w:tab w:val="left" w:pos="8460"/>
        </w:tabs>
        <w:spacing w:before="120" w:after="120"/>
        <w:ind w:right="-35"/>
        <w:rPr>
          <w:rFonts w:cs="Arial"/>
          <w:szCs w:val="24"/>
        </w:rPr>
      </w:pPr>
      <w:r w:rsidRPr="000D6C66">
        <w:rPr>
          <w:rFonts w:cs="Arial"/>
          <w:szCs w:val="24"/>
        </w:rPr>
        <w:t>The site</w:t>
      </w:r>
      <w:r w:rsidR="00AD6831">
        <w:rPr>
          <w:rFonts w:cs="Arial"/>
          <w:szCs w:val="24"/>
        </w:rPr>
        <w:t>s</w:t>
      </w:r>
      <w:r w:rsidRPr="000D6C66">
        <w:rPr>
          <w:rFonts w:cs="Arial"/>
          <w:szCs w:val="24"/>
        </w:rPr>
        <w:t xml:space="preserve"> fall within the </w:t>
      </w:r>
      <w:r w:rsidR="00BB16A9" w:rsidRPr="00AD6831">
        <w:rPr>
          <w:rFonts w:cs="Arial"/>
          <w:szCs w:val="24"/>
        </w:rPr>
        <w:t>Berowra</w:t>
      </w:r>
      <w:r w:rsidR="000D6C66" w:rsidRPr="00AD6831">
        <w:rPr>
          <w:rFonts w:cs="Arial"/>
          <w:szCs w:val="24"/>
        </w:rPr>
        <w:t xml:space="preserve"> </w:t>
      </w:r>
      <w:r w:rsidR="00492E52" w:rsidRPr="00AD6831">
        <w:rPr>
          <w:rFonts w:cs="Arial"/>
          <w:szCs w:val="24"/>
        </w:rPr>
        <w:t>f</w:t>
      </w:r>
      <w:r w:rsidRPr="00AD6831">
        <w:rPr>
          <w:rFonts w:cs="Arial"/>
          <w:szCs w:val="24"/>
        </w:rPr>
        <w:t xml:space="preserve">ederal </w:t>
      </w:r>
      <w:r w:rsidR="00492E52" w:rsidRPr="00AD6831">
        <w:rPr>
          <w:rFonts w:cs="Arial"/>
          <w:szCs w:val="24"/>
        </w:rPr>
        <w:t>e</w:t>
      </w:r>
      <w:r w:rsidRPr="00AD6831">
        <w:rPr>
          <w:rFonts w:cs="Arial"/>
          <w:szCs w:val="24"/>
        </w:rPr>
        <w:t xml:space="preserve">lectorate. </w:t>
      </w:r>
      <w:r w:rsidR="00097FB1" w:rsidRPr="00AD6831">
        <w:rPr>
          <w:rFonts w:cs="Arial"/>
          <w:szCs w:val="24"/>
        </w:rPr>
        <w:t xml:space="preserve">Julian </w:t>
      </w:r>
      <w:proofErr w:type="spellStart"/>
      <w:r w:rsidR="00097FB1" w:rsidRPr="00AD6831">
        <w:rPr>
          <w:rFonts w:cs="Arial"/>
          <w:szCs w:val="24"/>
        </w:rPr>
        <w:t>Leeser</w:t>
      </w:r>
      <w:proofErr w:type="spellEnd"/>
      <w:r w:rsidRPr="00AD6831">
        <w:rPr>
          <w:rFonts w:cs="Arial"/>
          <w:szCs w:val="24"/>
        </w:rPr>
        <w:t xml:space="preserve"> </w:t>
      </w:r>
      <w:r w:rsidR="000D6C66" w:rsidRPr="000D6C66">
        <w:rPr>
          <w:rFonts w:cs="Arial"/>
          <w:szCs w:val="24"/>
        </w:rPr>
        <w:t>MP is the Federal Member</w:t>
      </w:r>
      <w:r w:rsidR="000D6C66" w:rsidRPr="00F25F2A">
        <w:rPr>
          <w:rFonts w:cs="Arial"/>
          <w:szCs w:val="24"/>
        </w:rPr>
        <w:t>.</w:t>
      </w:r>
    </w:p>
    <w:p w14:paraId="72953C36" w14:textId="4D3E8584" w:rsidR="000D6C66" w:rsidRPr="001648E6" w:rsidRDefault="000D6C66" w:rsidP="00A6084F">
      <w:pPr>
        <w:tabs>
          <w:tab w:val="left" w:pos="8460"/>
        </w:tabs>
        <w:ind w:right="-35"/>
        <w:rPr>
          <w:rFonts w:cs="Arial"/>
          <w:szCs w:val="24"/>
        </w:rPr>
      </w:pPr>
      <w:r w:rsidRPr="001648E6">
        <w:rPr>
          <w:rFonts w:cs="Arial"/>
          <w:szCs w:val="24"/>
        </w:rPr>
        <w:t>To the regional planning team’s knowledge, neither MP has made any written representations regarding the proposal</w:t>
      </w:r>
      <w:r w:rsidR="001648E6" w:rsidRPr="001648E6">
        <w:rPr>
          <w:rFonts w:cs="Arial"/>
          <w:szCs w:val="24"/>
        </w:rPr>
        <w:t>.</w:t>
      </w:r>
      <w:r w:rsidR="00B62E3E" w:rsidRPr="001648E6">
        <w:rPr>
          <w:rFonts w:cs="Arial"/>
          <w:szCs w:val="24"/>
        </w:rPr>
        <w:br/>
      </w:r>
    </w:p>
    <w:p w14:paraId="6233C971" w14:textId="4BA9F2E7" w:rsidR="000D6C66" w:rsidRPr="008D0BA0" w:rsidRDefault="000D6C66" w:rsidP="00374301">
      <w:pPr>
        <w:pBdr>
          <w:top w:val="single" w:sz="4" w:space="1" w:color="auto"/>
          <w:left w:val="single" w:sz="4" w:space="1" w:color="auto"/>
          <w:bottom w:val="single" w:sz="4" w:space="1" w:color="auto"/>
          <w:right w:val="single" w:sz="4" w:space="4" w:color="auto"/>
        </w:pBdr>
        <w:spacing w:before="120"/>
        <w:ind w:right="532"/>
        <w:rPr>
          <w:rFonts w:cs="Arial"/>
          <w:szCs w:val="24"/>
        </w:rPr>
      </w:pPr>
      <w:r w:rsidRPr="008D0BA0">
        <w:rPr>
          <w:b/>
          <w:szCs w:val="24"/>
        </w:rPr>
        <w:t>NSW Government Lobbyist Code of Conduct:</w:t>
      </w:r>
      <w:r w:rsidRPr="008D0BA0">
        <w:rPr>
          <w:szCs w:val="24"/>
        </w:rPr>
        <w:t xml:space="preserve"> There have been no meetings or communications with registered lobbyists with respect to this proposal</w:t>
      </w:r>
      <w:r w:rsidR="008D0BA0" w:rsidRPr="008D0BA0">
        <w:rPr>
          <w:szCs w:val="24"/>
        </w:rPr>
        <w:t>.</w:t>
      </w:r>
    </w:p>
    <w:p w14:paraId="77C3EE8E" w14:textId="77777777" w:rsidR="000D6C66" w:rsidRPr="008D0BA0" w:rsidRDefault="000D6C66" w:rsidP="000D6C66">
      <w:pPr>
        <w:rPr>
          <w:rFonts w:cs="Arial"/>
          <w:szCs w:val="24"/>
          <w:lang w:val="en-US" w:eastAsia="en-US"/>
        </w:rPr>
      </w:pPr>
    </w:p>
    <w:p w14:paraId="32A3BD1D" w14:textId="757E7D65" w:rsidR="000D6C66" w:rsidRPr="008D0BA0" w:rsidRDefault="000D6C66" w:rsidP="00A6084F">
      <w:pPr>
        <w:pBdr>
          <w:top w:val="single" w:sz="4" w:space="1" w:color="auto"/>
          <w:left w:val="single" w:sz="4" w:space="1" w:color="auto"/>
          <w:bottom w:val="single" w:sz="4" w:space="1" w:color="auto"/>
          <w:right w:val="single" w:sz="4" w:space="0" w:color="auto"/>
        </w:pBdr>
        <w:ind w:right="532"/>
        <w:rPr>
          <w:rFonts w:cs="Arial"/>
          <w:szCs w:val="24"/>
        </w:rPr>
      </w:pPr>
      <w:r w:rsidRPr="008D0BA0">
        <w:rPr>
          <w:b/>
          <w:szCs w:val="24"/>
        </w:rPr>
        <w:t>NSW Government reportable political donation:</w:t>
      </w:r>
      <w:r w:rsidRPr="008D0BA0">
        <w:rPr>
          <w:szCs w:val="24"/>
        </w:rPr>
        <w:t xml:space="preserve"> </w:t>
      </w:r>
      <w:r w:rsidR="008D0BA0" w:rsidRPr="008D0BA0">
        <w:rPr>
          <w:szCs w:val="24"/>
        </w:rPr>
        <w:t>T</w:t>
      </w:r>
      <w:r w:rsidRPr="008D0BA0">
        <w:rPr>
          <w:szCs w:val="24"/>
        </w:rPr>
        <w:t>here are no donations or gifts to disclose and a political donation disclosure is not required</w:t>
      </w:r>
      <w:r w:rsidR="0029444F" w:rsidRPr="008D0BA0">
        <w:rPr>
          <w:szCs w:val="24"/>
        </w:rPr>
        <w:t>.</w:t>
      </w:r>
    </w:p>
    <w:p w14:paraId="4E9AE15E" w14:textId="77777777" w:rsidR="000D6C66" w:rsidRPr="000D6C66" w:rsidRDefault="000D6C66" w:rsidP="000D6C66">
      <w:pPr>
        <w:rPr>
          <w:rFonts w:cs="Arial"/>
          <w:color w:val="000000"/>
          <w:szCs w:val="24"/>
          <w:lang w:val="en-US" w:eastAsia="en-US"/>
        </w:rPr>
      </w:pPr>
    </w:p>
    <w:p w14:paraId="26C4B934" w14:textId="1607F486" w:rsidR="00EB3185" w:rsidRPr="000D6C66" w:rsidRDefault="00EB3185" w:rsidP="008E41F5">
      <w:pPr>
        <w:numPr>
          <w:ilvl w:val="0"/>
          <w:numId w:val="34"/>
        </w:numPr>
        <w:spacing w:before="240"/>
        <w:ind w:right="-35"/>
        <w:rPr>
          <w:b/>
          <w:szCs w:val="24"/>
        </w:rPr>
      </w:pPr>
      <w:r w:rsidRPr="000D6C66">
        <w:rPr>
          <w:b/>
          <w:szCs w:val="24"/>
        </w:rPr>
        <w:t xml:space="preserve">GATEWAY </w:t>
      </w:r>
      <w:r>
        <w:rPr>
          <w:b/>
          <w:szCs w:val="24"/>
        </w:rPr>
        <w:t>DETERMINATION</w:t>
      </w:r>
    </w:p>
    <w:p w14:paraId="6401C280" w14:textId="2CA65610" w:rsidR="00EB3185" w:rsidRPr="00434CC6" w:rsidRDefault="00EB3185" w:rsidP="00A85EC6">
      <w:pPr>
        <w:pStyle w:val="BodyText"/>
        <w:spacing w:before="0" w:after="120"/>
        <w:ind w:right="-35"/>
        <w:rPr>
          <w:rFonts w:cs="Arial"/>
        </w:rPr>
      </w:pPr>
      <w:r w:rsidRPr="00434CC6">
        <w:rPr>
          <w:rFonts w:cs="Arial"/>
        </w:rPr>
        <w:t xml:space="preserve">The Gateway </w:t>
      </w:r>
      <w:r w:rsidR="006A47E8">
        <w:rPr>
          <w:rFonts w:cs="Arial"/>
        </w:rPr>
        <w:t>D</w:t>
      </w:r>
      <w:r w:rsidRPr="00434CC6">
        <w:rPr>
          <w:rFonts w:cs="Arial"/>
        </w:rPr>
        <w:t>etermination issued on</w:t>
      </w:r>
      <w:r w:rsidR="002D7AB1">
        <w:rPr>
          <w:rFonts w:cs="Arial"/>
        </w:rPr>
        <w:t xml:space="preserve"> 17 February 2020</w:t>
      </w:r>
      <w:r w:rsidRPr="00434CC6">
        <w:rPr>
          <w:rFonts w:cs="Arial"/>
          <w:color w:val="FF0000"/>
        </w:rPr>
        <w:t xml:space="preserve"> </w:t>
      </w:r>
      <w:r w:rsidRPr="00434CC6">
        <w:rPr>
          <w:rFonts w:cs="Arial"/>
          <w:b/>
        </w:rPr>
        <w:t>(Attachment</w:t>
      </w:r>
      <w:r>
        <w:rPr>
          <w:rFonts w:cs="Arial"/>
          <w:b/>
        </w:rPr>
        <w:t xml:space="preserve"> </w:t>
      </w:r>
      <w:r w:rsidR="004540C6">
        <w:rPr>
          <w:rFonts w:cs="Arial"/>
          <w:b/>
        </w:rPr>
        <w:t>B</w:t>
      </w:r>
      <w:r w:rsidRPr="00434CC6">
        <w:rPr>
          <w:rFonts w:cs="Arial"/>
          <w:b/>
        </w:rPr>
        <w:t>)</w:t>
      </w:r>
      <w:r>
        <w:rPr>
          <w:rFonts w:cs="Arial"/>
        </w:rPr>
        <w:t xml:space="preserve"> </w:t>
      </w:r>
      <w:r w:rsidRPr="00434CC6">
        <w:rPr>
          <w:rFonts w:cs="Arial"/>
        </w:rPr>
        <w:t>determined that the proposal should proceed subject to</w:t>
      </w:r>
      <w:r>
        <w:rPr>
          <w:rFonts w:cs="Arial"/>
        </w:rPr>
        <w:t xml:space="preserve"> conditions.</w:t>
      </w:r>
    </w:p>
    <w:p w14:paraId="1A8C80FB" w14:textId="77777777" w:rsidR="000D6C66" w:rsidRPr="000D6C66" w:rsidRDefault="000D6C66" w:rsidP="008E41F5">
      <w:pPr>
        <w:numPr>
          <w:ilvl w:val="0"/>
          <w:numId w:val="34"/>
        </w:numPr>
        <w:spacing w:before="240"/>
        <w:ind w:right="-35"/>
        <w:outlineLvl w:val="1"/>
        <w:rPr>
          <w:rFonts w:cs="Arial"/>
          <w:b/>
          <w:bCs/>
          <w:iCs/>
          <w:szCs w:val="24"/>
        </w:rPr>
      </w:pPr>
      <w:r w:rsidRPr="000D6C66">
        <w:rPr>
          <w:rFonts w:cs="Arial"/>
          <w:b/>
          <w:bCs/>
          <w:iCs/>
          <w:szCs w:val="24"/>
        </w:rPr>
        <w:t xml:space="preserve">PUBLIC </w:t>
      </w:r>
      <w:r w:rsidR="00A76B92">
        <w:rPr>
          <w:rFonts w:cs="Arial"/>
          <w:b/>
          <w:bCs/>
          <w:iCs/>
          <w:szCs w:val="24"/>
        </w:rPr>
        <w:t>EXHIBITION</w:t>
      </w:r>
      <w:r w:rsidR="00401C05">
        <w:rPr>
          <w:rFonts w:cs="Arial"/>
          <w:b/>
          <w:bCs/>
          <w:iCs/>
          <w:szCs w:val="24"/>
        </w:rPr>
        <w:t xml:space="preserve"> </w:t>
      </w:r>
    </w:p>
    <w:p w14:paraId="742B8FDA" w14:textId="59AEB1BF" w:rsidR="006446B9" w:rsidRPr="000A6B40" w:rsidRDefault="00AE306B" w:rsidP="00A85EC6">
      <w:pPr>
        <w:spacing w:before="120" w:after="120"/>
        <w:ind w:right="-35"/>
        <w:rPr>
          <w:color w:val="000000" w:themeColor="text1"/>
          <w:szCs w:val="24"/>
        </w:rPr>
      </w:pPr>
      <w:bookmarkStart w:id="1" w:name="_Hlk51684895"/>
      <w:r w:rsidRPr="000A6B40">
        <w:rPr>
          <w:color w:val="000000" w:themeColor="text1"/>
          <w:szCs w:val="24"/>
        </w:rPr>
        <w:t xml:space="preserve">In accordance with the Gateway </w:t>
      </w:r>
      <w:r w:rsidR="00FC495E" w:rsidRPr="000A6B40">
        <w:rPr>
          <w:color w:val="000000" w:themeColor="text1"/>
          <w:szCs w:val="24"/>
        </w:rPr>
        <w:t>D</w:t>
      </w:r>
      <w:r w:rsidRPr="000A6B40">
        <w:rPr>
          <w:color w:val="000000" w:themeColor="text1"/>
          <w:szCs w:val="24"/>
        </w:rPr>
        <w:t xml:space="preserve">etermination, the proposal was publicly exhibited by Council from 11 March to 10 April 2020. </w:t>
      </w:r>
      <w:r w:rsidR="002B2E4F" w:rsidRPr="000A6B40">
        <w:rPr>
          <w:color w:val="000000" w:themeColor="text1"/>
          <w:szCs w:val="24"/>
        </w:rPr>
        <w:t>Seven (</w:t>
      </w:r>
      <w:r w:rsidRPr="000A6B40">
        <w:rPr>
          <w:color w:val="000000" w:themeColor="text1"/>
          <w:szCs w:val="24"/>
        </w:rPr>
        <w:t>7</w:t>
      </w:r>
      <w:r w:rsidR="002B2E4F" w:rsidRPr="000A6B40">
        <w:rPr>
          <w:color w:val="000000" w:themeColor="text1"/>
          <w:szCs w:val="24"/>
        </w:rPr>
        <w:t>)</w:t>
      </w:r>
      <w:r w:rsidRPr="000A6B40">
        <w:rPr>
          <w:color w:val="000000" w:themeColor="text1"/>
          <w:szCs w:val="24"/>
        </w:rPr>
        <w:t xml:space="preserve"> submissions were received from the community during the statutory exhibition, with a total of 26 submissions throughout both the statutory exhibition and preliminary exhibition (the latter exhibition period was prior to being sent to the Department for a Gateway determination).</w:t>
      </w:r>
      <w:r w:rsidR="006A15C7">
        <w:rPr>
          <w:color w:val="000000" w:themeColor="text1"/>
          <w:szCs w:val="24"/>
        </w:rPr>
        <w:t xml:space="preserve"> Council’s </w:t>
      </w:r>
      <w:r w:rsidR="004540C6" w:rsidRPr="000A6B40">
        <w:rPr>
          <w:color w:val="000000" w:themeColor="text1"/>
          <w:szCs w:val="24"/>
        </w:rPr>
        <w:t xml:space="preserve">report on the submissions can be found at </w:t>
      </w:r>
      <w:r w:rsidR="004540C6" w:rsidRPr="000A6B40">
        <w:rPr>
          <w:b/>
          <w:bCs/>
          <w:color w:val="000000" w:themeColor="text1"/>
          <w:szCs w:val="24"/>
        </w:rPr>
        <w:t>Attachment C4</w:t>
      </w:r>
    </w:p>
    <w:bookmarkEnd w:id="1"/>
    <w:p w14:paraId="3E0C943B" w14:textId="77777777" w:rsidR="006446B9" w:rsidRPr="002412E3" w:rsidRDefault="006446B9" w:rsidP="006446B9">
      <w:pPr>
        <w:spacing w:after="120"/>
        <w:ind w:right="-35"/>
        <w:rPr>
          <w:szCs w:val="24"/>
          <w:u w:val="single"/>
        </w:rPr>
      </w:pPr>
      <w:r w:rsidRPr="002412E3">
        <w:rPr>
          <w:szCs w:val="24"/>
          <w:u w:val="single"/>
        </w:rPr>
        <w:t>Submissions</w:t>
      </w:r>
    </w:p>
    <w:p w14:paraId="1482F136" w14:textId="39967D46" w:rsidR="006446B9" w:rsidRDefault="006446B9" w:rsidP="006446B9">
      <w:pPr>
        <w:spacing w:before="120" w:after="120"/>
        <w:ind w:right="-35"/>
        <w:rPr>
          <w:szCs w:val="24"/>
        </w:rPr>
      </w:pPr>
      <w:r>
        <w:rPr>
          <w:szCs w:val="24"/>
        </w:rPr>
        <w:t>In addition to the submissions that resulted in</w:t>
      </w:r>
      <w:r w:rsidR="002B2E4F">
        <w:rPr>
          <w:szCs w:val="24"/>
        </w:rPr>
        <w:t xml:space="preserve"> two (2)</w:t>
      </w:r>
      <w:r>
        <w:rPr>
          <w:szCs w:val="24"/>
        </w:rPr>
        <w:t xml:space="preserve"> </w:t>
      </w:r>
      <w:r w:rsidR="00F211E1">
        <w:rPr>
          <w:szCs w:val="24"/>
        </w:rPr>
        <w:t xml:space="preserve">proposed </w:t>
      </w:r>
      <w:r>
        <w:rPr>
          <w:szCs w:val="24"/>
        </w:rPr>
        <w:t xml:space="preserve">heritage amendments being removed from the proposal (details in Section 8, below), the statutory exhibition period </w:t>
      </w:r>
      <w:r w:rsidR="00C80FD4">
        <w:rPr>
          <w:szCs w:val="24"/>
        </w:rPr>
        <w:t>identified</w:t>
      </w:r>
      <w:r>
        <w:rPr>
          <w:szCs w:val="24"/>
        </w:rPr>
        <w:t xml:space="preserve"> concerns around:</w:t>
      </w:r>
    </w:p>
    <w:p w14:paraId="7E6C6AD2" w14:textId="77777777" w:rsidR="006446B9" w:rsidRDefault="006446B9" w:rsidP="006446B9">
      <w:pPr>
        <w:spacing w:before="120" w:after="120"/>
        <w:ind w:right="-35"/>
        <w:rPr>
          <w:i/>
          <w:iCs/>
          <w:szCs w:val="24"/>
        </w:rPr>
      </w:pPr>
      <w:r w:rsidRPr="001D2705">
        <w:rPr>
          <w:i/>
          <w:iCs/>
          <w:szCs w:val="24"/>
        </w:rPr>
        <w:t xml:space="preserve">The validity of Council’s response to Ministerial Direction 2.3 – Heritage Conservation </w:t>
      </w:r>
    </w:p>
    <w:p w14:paraId="204B0210" w14:textId="77777777" w:rsidR="006446B9" w:rsidRDefault="006446B9" w:rsidP="006446B9">
      <w:pPr>
        <w:spacing w:before="120" w:after="120"/>
        <w:ind w:right="-35"/>
        <w:rPr>
          <w:szCs w:val="24"/>
        </w:rPr>
      </w:pPr>
      <w:r>
        <w:rPr>
          <w:szCs w:val="24"/>
        </w:rPr>
        <w:t xml:space="preserve">A submission raised concern that Council’s response to Ministerial Direction 2.3 Heritage Conservation was invalid as the proposed amendment to the Heritage Map for Item No. 492 </w:t>
      </w:r>
      <w:proofErr w:type="spellStart"/>
      <w:r>
        <w:rPr>
          <w:szCs w:val="24"/>
        </w:rPr>
        <w:t>Lisgar</w:t>
      </w:r>
      <w:proofErr w:type="spellEnd"/>
      <w:r>
        <w:rPr>
          <w:szCs w:val="24"/>
        </w:rPr>
        <w:t xml:space="preserve"> Gardens would sever the relationship between the </w:t>
      </w:r>
      <w:proofErr w:type="spellStart"/>
      <w:r>
        <w:rPr>
          <w:szCs w:val="24"/>
        </w:rPr>
        <w:t>Lisgar</w:t>
      </w:r>
      <w:proofErr w:type="spellEnd"/>
      <w:r>
        <w:rPr>
          <w:szCs w:val="24"/>
        </w:rPr>
        <w:t xml:space="preserve"> Gardens and the Florence Cotton Park. The proposal is, however, consistent with the objective of Direction 2.3 as it involves the identification of heritage significance and conservation of the site’s natural and cultural values.</w:t>
      </w:r>
    </w:p>
    <w:p w14:paraId="789AD861" w14:textId="77777777" w:rsidR="006446B9" w:rsidRPr="001D2705" w:rsidRDefault="006446B9" w:rsidP="006446B9">
      <w:pPr>
        <w:spacing w:before="120" w:after="120"/>
        <w:ind w:right="-35"/>
        <w:rPr>
          <w:i/>
          <w:iCs/>
          <w:szCs w:val="24"/>
        </w:rPr>
      </w:pPr>
      <w:r w:rsidRPr="001D2705">
        <w:rPr>
          <w:i/>
          <w:iCs/>
          <w:szCs w:val="24"/>
        </w:rPr>
        <w:t>Lack of heritage mapping</w:t>
      </w:r>
    </w:p>
    <w:p w14:paraId="4F745C7A" w14:textId="26F7D919" w:rsidR="006446B9" w:rsidRDefault="006446B9" w:rsidP="006446B9">
      <w:pPr>
        <w:spacing w:before="120" w:after="120"/>
        <w:ind w:right="-35"/>
        <w:rPr>
          <w:szCs w:val="24"/>
        </w:rPr>
      </w:pPr>
      <w:r>
        <w:rPr>
          <w:szCs w:val="24"/>
        </w:rPr>
        <w:t xml:space="preserve">A submission raised concerns regarding the lack of heritage mapping for the proposed corrections of heritage anomalies being insufficient for consideration of assessment; however, these maps were provided prior to public exhibition for community review. </w:t>
      </w:r>
      <w:r>
        <w:rPr>
          <w:szCs w:val="24"/>
        </w:rPr>
        <w:lastRenderedPageBreak/>
        <w:t>Additionally, of the 40 anomalies to be corrected within Schedule 5 of the HLEP 2013, only 10 of these entail amendments to the Heritage Maps while the remaining 30 anomalies do not require amendments to the Heritage Maps</w:t>
      </w:r>
    </w:p>
    <w:p w14:paraId="5DC19481" w14:textId="77777777" w:rsidR="006446B9" w:rsidRPr="001D2705" w:rsidRDefault="006446B9" w:rsidP="006446B9">
      <w:pPr>
        <w:spacing w:before="120" w:after="120"/>
        <w:ind w:right="-35"/>
        <w:rPr>
          <w:i/>
          <w:iCs/>
          <w:szCs w:val="24"/>
        </w:rPr>
      </w:pPr>
      <w:r w:rsidRPr="001D2705">
        <w:rPr>
          <w:i/>
          <w:iCs/>
          <w:szCs w:val="24"/>
        </w:rPr>
        <w:t>A full review of Barker College heritage items</w:t>
      </w:r>
    </w:p>
    <w:p w14:paraId="666B0A74" w14:textId="3459B989" w:rsidR="006446B9" w:rsidRDefault="006446B9" w:rsidP="006446B9">
      <w:pPr>
        <w:spacing w:before="120" w:after="120"/>
        <w:ind w:right="-35"/>
        <w:rPr>
          <w:szCs w:val="24"/>
        </w:rPr>
      </w:pPr>
      <w:r>
        <w:rPr>
          <w:szCs w:val="24"/>
        </w:rPr>
        <w:t xml:space="preserve">A full review of heritage listings on the Barker College is unnecessary as the proposal does not involve any addition or deletion of heritage items. A full review of heritage items within the Hornsby LGA will, however, be considered under </w:t>
      </w:r>
      <w:r w:rsidR="00BF5E94">
        <w:rPr>
          <w:szCs w:val="24"/>
        </w:rPr>
        <w:t>Council’s</w:t>
      </w:r>
      <w:r>
        <w:rPr>
          <w:szCs w:val="24"/>
        </w:rPr>
        <w:t xml:space="preserve"> Comprehensive Heritage Review.</w:t>
      </w:r>
    </w:p>
    <w:p w14:paraId="337CEC11" w14:textId="77777777" w:rsidR="006446B9" w:rsidRPr="001D2705" w:rsidRDefault="006446B9" w:rsidP="006446B9">
      <w:pPr>
        <w:spacing w:before="120" w:after="120"/>
        <w:ind w:right="-35"/>
        <w:rPr>
          <w:i/>
          <w:iCs/>
          <w:szCs w:val="24"/>
        </w:rPr>
      </w:pPr>
      <w:r w:rsidRPr="001D2705">
        <w:rPr>
          <w:i/>
          <w:iCs/>
          <w:szCs w:val="24"/>
        </w:rPr>
        <w:t>Rezoning of No.5 Arcadia Road, Galston</w:t>
      </w:r>
    </w:p>
    <w:p w14:paraId="5A791F8A" w14:textId="7B608876" w:rsidR="006446B9" w:rsidRDefault="006446B9" w:rsidP="006446B9">
      <w:pPr>
        <w:spacing w:before="120" w:after="120"/>
        <w:ind w:right="-35"/>
        <w:rPr>
          <w:szCs w:val="24"/>
        </w:rPr>
      </w:pPr>
      <w:r>
        <w:rPr>
          <w:szCs w:val="24"/>
        </w:rPr>
        <w:t>The rezoning of No. 5 Arcadia Road, Galston from B1 Neighbourhood Centre to R2 Low Density Residential is to correct an anomaly and reflect the multi-dwelling residential use on the site. It is important to note that multi-dwelling housing on other R2 zoned land is prohibited</w:t>
      </w:r>
    </w:p>
    <w:p w14:paraId="73BBE964" w14:textId="77777777" w:rsidR="006446B9" w:rsidRPr="00AE7B79" w:rsidRDefault="006446B9" w:rsidP="006446B9">
      <w:pPr>
        <w:spacing w:before="120" w:after="120"/>
        <w:ind w:right="-35"/>
        <w:rPr>
          <w:i/>
          <w:szCs w:val="24"/>
        </w:rPr>
      </w:pPr>
      <w:r w:rsidRPr="00AE7B79">
        <w:rPr>
          <w:i/>
          <w:szCs w:val="24"/>
        </w:rPr>
        <w:t>Height of building amendment</w:t>
      </w:r>
    </w:p>
    <w:p w14:paraId="0AF58FA0" w14:textId="4160235C" w:rsidR="006446B9" w:rsidRDefault="006446B9" w:rsidP="006446B9">
      <w:pPr>
        <w:spacing w:before="120" w:after="120"/>
        <w:ind w:right="-35"/>
        <w:rPr>
          <w:szCs w:val="24"/>
        </w:rPr>
      </w:pPr>
      <w:r>
        <w:rPr>
          <w:szCs w:val="24"/>
        </w:rPr>
        <w:t>Submissions raised concerns regarding the reduction in maximum height of buildings from 17.7 metres to 16.5 metres. However, the proposed maximum height will still provide the opportunity for construction of 5-storey apartment buildings and does not affect FSR controls. This amendment is to give effect to the Hornsby Development Control Plan (HDCP) 2013 so that ‘top heavy’ mezzanine levels are not permitted within 5-storey developments.</w:t>
      </w:r>
    </w:p>
    <w:p w14:paraId="20394A14" w14:textId="6AC1E326" w:rsidR="006446B9" w:rsidRPr="002412E3" w:rsidRDefault="006446B9" w:rsidP="006446B9">
      <w:pPr>
        <w:spacing w:before="120" w:after="120"/>
        <w:ind w:right="-35"/>
        <w:rPr>
          <w:i/>
          <w:iCs/>
          <w:szCs w:val="24"/>
        </w:rPr>
      </w:pPr>
      <w:r w:rsidRPr="002412E3">
        <w:rPr>
          <w:i/>
          <w:iCs/>
          <w:szCs w:val="24"/>
        </w:rPr>
        <w:t>Design Excellence</w:t>
      </w:r>
    </w:p>
    <w:p w14:paraId="0D505460" w14:textId="546317DC" w:rsidR="006446B9" w:rsidRPr="00F679B1" w:rsidRDefault="006446B9" w:rsidP="006446B9">
      <w:pPr>
        <w:spacing w:before="120" w:after="120"/>
        <w:ind w:right="-35"/>
        <w:rPr>
          <w:szCs w:val="24"/>
        </w:rPr>
      </w:pPr>
      <w:r>
        <w:rPr>
          <w:szCs w:val="24"/>
        </w:rPr>
        <w:t>A submission from the Property Council of Australia raised concern over the Clause 6.8 Design Excellence amendment and the lack of new housing supply in accordance with the North District Plan and Hornsby LSPS. The amendment to Clause 6.8 Design Excellence is to introduce more aesthetically pleasing developments of higher standards. In terms of housing supply, Council is on track to meet its short-term targets, so the rezoning of additional land is not required.</w:t>
      </w:r>
      <w:r w:rsidR="005A3E0D">
        <w:rPr>
          <w:szCs w:val="24"/>
        </w:rPr>
        <w:t xml:space="preserve"> </w:t>
      </w:r>
      <w:r w:rsidR="006A47E8">
        <w:rPr>
          <w:szCs w:val="24"/>
        </w:rPr>
        <w:t>In addition</w:t>
      </w:r>
      <w:r w:rsidR="000A6B40">
        <w:rPr>
          <w:szCs w:val="24"/>
        </w:rPr>
        <w:t>,</w:t>
      </w:r>
      <w:r w:rsidR="006A47E8">
        <w:rPr>
          <w:szCs w:val="24"/>
        </w:rPr>
        <w:t xml:space="preserve"> medium</w:t>
      </w:r>
      <w:r w:rsidR="00B17C69">
        <w:rPr>
          <w:szCs w:val="24"/>
        </w:rPr>
        <w:t xml:space="preserve"> </w:t>
      </w:r>
      <w:r w:rsidR="006A47E8">
        <w:rPr>
          <w:szCs w:val="24"/>
        </w:rPr>
        <w:t xml:space="preserve">- </w:t>
      </w:r>
      <w:r w:rsidR="005A3E0D">
        <w:rPr>
          <w:szCs w:val="24"/>
        </w:rPr>
        <w:t xml:space="preserve">long term </w:t>
      </w:r>
      <w:r w:rsidR="00B17C69">
        <w:rPr>
          <w:szCs w:val="24"/>
        </w:rPr>
        <w:t xml:space="preserve">housing </w:t>
      </w:r>
      <w:r w:rsidR="005A3E0D">
        <w:rPr>
          <w:szCs w:val="24"/>
        </w:rPr>
        <w:t>targets and potential areas for rezoning are currently being considered through Councils preparation of their Local Housing Strategy.</w:t>
      </w:r>
    </w:p>
    <w:p w14:paraId="010CE921" w14:textId="77777777" w:rsidR="000D6C66" w:rsidRPr="000D6C66" w:rsidRDefault="000D6C66" w:rsidP="008E41F5">
      <w:pPr>
        <w:numPr>
          <w:ilvl w:val="0"/>
          <w:numId w:val="34"/>
        </w:numPr>
        <w:spacing w:before="240"/>
        <w:ind w:right="-35"/>
        <w:outlineLvl w:val="1"/>
        <w:rPr>
          <w:rFonts w:cs="Arial"/>
          <w:b/>
          <w:bCs/>
          <w:iCs/>
          <w:szCs w:val="24"/>
        </w:rPr>
      </w:pPr>
      <w:r w:rsidRPr="000D6C66">
        <w:rPr>
          <w:rFonts w:cs="Arial"/>
          <w:b/>
          <w:bCs/>
          <w:iCs/>
          <w:szCs w:val="24"/>
        </w:rPr>
        <w:t>ADVICE FROM PUBLIC AUTHORITIES</w:t>
      </w:r>
    </w:p>
    <w:p w14:paraId="372D683B" w14:textId="02F5C8BD" w:rsidR="00B648E7" w:rsidRPr="00B648E7" w:rsidRDefault="00B648E7" w:rsidP="00B648E7">
      <w:pPr>
        <w:spacing w:after="120"/>
        <w:ind w:right="-35"/>
        <w:rPr>
          <w:rFonts w:cs="Arial"/>
          <w:szCs w:val="24"/>
        </w:rPr>
      </w:pPr>
      <w:bookmarkStart w:id="2" w:name="_Hlk51684847"/>
      <w:r w:rsidRPr="00B648E7">
        <w:rPr>
          <w:rFonts w:cs="Arial"/>
          <w:szCs w:val="24"/>
        </w:rPr>
        <w:t>Council was required to consult with:</w:t>
      </w:r>
    </w:p>
    <w:p w14:paraId="361F89AA" w14:textId="5F9960B3" w:rsidR="005C11D6" w:rsidRPr="00F679B1" w:rsidRDefault="005C11D6" w:rsidP="005C11D6">
      <w:pPr>
        <w:pStyle w:val="ListParagraph"/>
        <w:numPr>
          <w:ilvl w:val="0"/>
          <w:numId w:val="41"/>
        </w:numPr>
        <w:spacing w:after="120"/>
        <w:ind w:right="-35"/>
        <w:rPr>
          <w:rFonts w:ascii="Arial" w:hAnsi="Arial" w:cs="Arial"/>
          <w:sz w:val="24"/>
          <w:szCs w:val="24"/>
        </w:rPr>
      </w:pPr>
      <w:r w:rsidRPr="00F679B1">
        <w:rPr>
          <w:rFonts w:ascii="Arial" w:hAnsi="Arial" w:cs="Arial"/>
          <w:sz w:val="24"/>
          <w:szCs w:val="24"/>
        </w:rPr>
        <w:t>NSW Rural Fire Service</w:t>
      </w:r>
    </w:p>
    <w:p w14:paraId="0F694359" w14:textId="77777777" w:rsidR="005C11D6" w:rsidRPr="00F679B1" w:rsidRDefault="005C11D6" w:rsidP="005C11D6">
      <w:pPr>
        <w:pStyle w:val="ListParagraph"/>
        <w:numPr>
          <w:ilvl w:val="0"/>
          <w:numId w:val="41"/>
        </w:numPr>
        <w:spacing w:after="120"/>
        <w:ind w:right="-35"/>
        <w:rPr>
          <w:rFonts w:ascii="Arial" w:hAnsi="Arial" w:cs="Arial"/>
          <w:sz w:val="24"/>
          <w:szCs w:val="24"/>
        </w:rPr>
      </w:pPr>
      <w:r w:rsidRPr="00F679B1">
        <w:rPr>
          <w:rFonts w:ascii="Arial" w:hAnsi="Arial" w:cs="Arial"/>
          <w:sz w:val="24"/>
          <w:szCs w:val="24"/>
        </w:rPr>
        <w:t>NSW Heritage</w:t>
      </w:r>
    </w:p>
    <w:p w14:paraId="3C1EB843" w14:textId="77777777" w:rsidR="005C11D6" w:rsidRPr="00F679B1" w:rsidRDefault="005C11D6" w:rsidP="005C11D6">
      <w:pPr>
        <w:pStyle w:val="ListParagraph"/>
        <w:numPr>
          <w:ilvl w:val="0"/>
          <w:numId w:val="41"/>
        </w:numPr>
        <w:spacing w:after="120"/>
        <w:ind w:right="-35"/>
        <w:rPr>
          <w:rFonts w:ascii="Arial" w:hAnsi="Arial" w:cs="Arial"/>
          <w:sz w:val="24"/>
          <w:szCs w:val="24"/>
        </w:rPr>
      </w:pPr>
      <w:r w:rsidRPr="00F679B1">
        <w:rPr>
          <w:rFonts w:ascii="Arial" w:hAnsi="Arial" w:cs="Arial"/>
          <w:sz w:val="24"/>
          <w:szCs w:val="24"/>
        </w:rPr>
        <w:t>Government Architects Office</w:t>
      </w:r>
    </w:p>
    <w:p w14:paraId="18AE01B3" w14:textId="22723677" w:rsidR="005C11D6" w:rsidRPr="000B5E95" w:rsidRDefault="005C11D6" w:rsidP="00F679B1">
      <w:pPr>
        <w:pStyle w:val="ListParagraph"/>
        <w:numPr>
          <w:ilvl w:val="0"/>
          <w:numId w:val="41"/>
        </w:numPr>
        <w:spacing w:after="120"/>
        <w:ind w:right="-35"/>
        <w:rPr>
          <w:rFonts w:cs="Arial"/>
          <w:szCs w:val="24"/>
        </w:rPr>
      </w:pPr>
      <w:r w:rsidRPr="00F679B1">
        <w:rPr>
          <w:rFonts w:ascii="Arial" w:hAnsi="Arial" w:cs="Arial"/>
          <w:sz w:val="24"/>
          <w:szCs w:val="24"/>
        </w:rPr>
        <w:t>NSW Parks and Wildlife Services</w:t>
      </w:r>
      <w:r w:rsidR="00B648E7" w:rsidRPr="00F679B1">
        <w:rPr>
          <w:rFonts w:ascii="Arial" w:hAnsi="Arial" w:cs="Arial"/>
          <w:sz w:val="24"/>
          <w:szCs w:val="24"/>
        </w:rPr>
        <w:tab/>
      </w:r>
    </w:p>
    <w:p w14:paraId="51FFD205" w14:textId="140A1896" w:rsidR="005C11D6" w:rsidRPr="00F679B1" w:rsidRDefault="005C11D6" w:rsidP="00F679B1">
      <w:pPr>
        <w:pStyle w:val="Heading2"/>
        <w:spacing w:before="0"/>
        <w:rPr>
          <w:rFonts w:cs="Arial"/>
          <w:b/>
          <w:szCs w:val="24"/>
        </w:rPr>
      </w:pPr>
      <w:r w:rsidRPr="00F679B1">
        <w:rPr>
          <w:rFonts w:ascii="Arial" w:eastAsia="Times New Roman" w:hAnsi="Arial" w:cs="Arial"/>
          <w:color w:val="auto"/>
          <w:sz w:val="24"/>
          <w:szCs w:val="24"/>
        </w:rPr>
        <w:t xml:space="preserve">Council also liaised with the Department’s Environment, Energy and Science Group (EES) for comment on the amendment to </w:t>
      </w:r>
      <w:proofErr w:type="spellStart"/>
      <w:r w:rsidRPr="00F679B1">
        <w:rPr>
          <w:rFonts w:ascii="Arial" w:eastAsia="Times New Roman" w:hAnsi="Arial" w:cs="Arial"/>
          <w:color w:val="auto"/>
          <w:sz w:val="24"/>
          <w:szCs w:val="24"/>
        </w:rPr>
        <w:t>Marramarra</w:t>
      </w:r>
      <w:proofErr w:type="spellEnd"/>
      <w:r w:rsidRPr="00F679B1">
        <w:rPr>
          <w:rFonts w:ascii="Arial" w:eastAsia="Times New Roman" w:hAnsi="Arial" w:cs="Arial"/>
          <w:color w:val="auto"/>
          <w:sz w:val="24"/>
          <w:szCs w:val="24"/>
        </w:rPr>
        <w:t xml:space="preserve"> National Park.</w:t>
      </w:r>
    </w:p>
    <w:p w14:paraId="796FAFA4" w14:textId="60D8C34C" w:rsidR="00532541" w:rsidRDefault="00B648E7" w:rsidP="00A85EC6">
      <w:pPr>
        <w:spacing w:before="120" w:after="120"/>
        <w:ind w:right="-35"/>
        <w:rPr>
          <w:rFonts w:cs="Arial"/>
          <w:szCs w:val="24"/>
        </w:rPr>
      </w:pPr>
      <w:r w:rsidRPr="00B648E7">
        <w:rPr>
          <w:rFonts w:cs="Arial"/>
          <w:szCs w:val="24"/>
        </w:rPr>
        <w:t>The above agencies generally supported the proposal, with all response</w:t>
      </w:r>
      <w:r>
        <w:rPr>
          <w:rFonts w:cs="Arial"/>
          <w:szCs w:val="24"/>
        </w:rPr>
        <w:t>s</w:t>
      </w:r>
      <w:r w:rsidRPr="00B648E7">
        <w:rPr>
          <w:rFonts w:cs="Arial"/>
          <w:szCs w:val="24"/>
        </w:rPr>
        <w:t xml:space="preserve"> contained at </w:t>
      </w:r>
      <w:r w:rsidRPr="0007048D">
        <w:rPr>
          <w:rFonts w:cs="Arial"/>
          <w:b/>
          <w:bCs/>
          <w:szCs w:val="24"/>
        </w:rPr>
        <w:t xml:space="preserve">Attachment </w:t>
      </w:r>
      <w:r w:rsidR="00836377" w:rsidRPr="0007048D">
        <w:rPr>
          <w:rFonts w:cs="Arial"/>
          <w:b/>
          <w:bCs/>
          <w:szCs w:val="24"/>
        </w:rPr>
        <w:t>C3</w:t>
      </w:r>
      <w:bookmarkEnd w:id="2"/>
      <w:r>
        <w:rPr>
          <w:rFonts w:cs="Arial"/>
          <w:szCs w:val="24"/>
        </w:rPr>
        <w:t>.</w:t>
      </w:r>
      <w:r w:rsidR="005C11D6">
        <w:rPr>
          <w:rFonts w:cs="Arial"/>
          <w:szCs w:val="24"/>
        </w:rPr>
        <w:t xml:space="preserve"> </w:t>
      </w:r>
      <w:r w:rsidR="00D63489">
        <w:rPr>
          <w:rFonts w:cs="Arial"/>
          <w:szCs w:val="24"/>
        </w:rPr>
        <w:t xml:space="preserve">Council </w:t>
      </w:r>
      <w:r w:rsidR="00A55618">
        <w:rPr>
          <w:rFonts w:cs="Arial"/>
          <w:szCs w:val="24"/>
        </w:rPr>
        <w:t xml:space="preserve">also </w:t>
      </w:r>
      <w:r w:rsidR="00D63489">
        <w:rPr>
          <w:rFonts w:cs="Arial"/>
          <w:szCs w:val="24"/>
        </w:rPr>
        <w:t>received a letter of support fro</w:t>
      </w:r>
      <w:r w:rsidR="00370665">
        <w:rPr>
          <w:rFonts w:cs="Arial"/>
          <w:szCs w:val="24"/>
        </w:rPr>
        <w:t xml:space="preserve">m </w:t>
      </w:r>
      <w:r w:rsidR="004A6086">
        <w:rPr>
          <w:rFonts w:cs="Arial"/>
          <w:szCs w:val="24"/>
        </w:rPr>
        <w:t>the Environment, Energy and Science Group under DPIE.</w:t>
      </w:r>
      <w:r w:rsidR="00183F41">
        <w:rPr>
          <w:rFonts w:cs="Arial"/>
          <w:szCs w:val="24"/>
        </w:rPr>
        <w:t xml:space="preserve"> Certificate of Titles have been obtained</w:t>
      </w:r>
      <w:r w:rsidR="00A51443">
        <w:rPr>
          <w:rFonts w:cs="Arial"/>
          <w:szCs w:val="24"/>
        </w:rPr>
        <w:t xml:space="preserve"> </w:t>
      </w:r>
      <w:r w:rsidR="00E87A81">
        <w:rPr>
          <w:rFonts w:cs="Arial"/>
          <w:szCs w:val="24"/>
        </w:rPr>
        <w:t xml:space="preserve">from Heritage NSW </w:t>
      </w:r>
      <w:r w:rsidR="00A51443">
        <w:rPr>
          <w:rFonts w:cs="Arial"/>
          <w:szCs w:val="24"/>
        </w:rPr>
        <w:t xml:space="preserve">to confirm all property descriptions </w:t>
      </w:r>
      <w:r w:rsidR="00A9680F">
        <w:rPr>
          <w:rFonts w:cs="Arial"/>
          <w:szCs w:val="24"/>
        </w:rPr>
        <w:t>for the Schedule 5 amendments</w:t>
      </w:r>
      <w:r w:rsidR="00F80019">
        <w:rPr>
          <w:rFonts w:cs="Arial"/>
          <w:szCs w:val="24"/>
        </w:rPr>
        <w:t>, in accordance with the Gateway Determination.</w:t>
      </w:r>
    </w:p>
    <w:p w14:paraId="7AED7EB2" w14:textId="77777777" w:rsidR="000D6C66" w:rsidRPr="000D6C66" w:rsidRDefault="000D6C66" w:rsidP="008E41F5">
      <w:pPr>
        <w:numPr>
          <w:ilvl w:val="0"/>
          <w:numId w:val="34"/>
        </w:numPr>
        <w:tabs>
          <w:tab w:val="left" w:pos="284"/>
        </w:tabs>
        <w:spacing w:before="240"/>
        <w:ind w:left="357" w:right="-35" w:hanging="357"/>
        <w:rPr>
          <w:b/>
          <w:szCs w:val="24"/>
        </w:rPr>
      </w:pPr>
      <w:r w:rsidRPr="000D6C66">
        <w:rPr>
          <w:b/>
          <w:szCs w:val="24"/>
        </w:rPr>
        <w:t>POST</w:t>
      </w:r>
      <w:r w:rsidR="001D40AA">
        <w:rPr>
          <w:b/>
          <w:szCs w:val="24"/>
        </w:rPr>
        <w:t>-</w:t>
      </w:r>
      <w:r w:rsidRPr="000D6C66">
        <w:rPr>
          <w:b/>
          <w:szCs w:val="24"/>
        </w:rPr>
        <w:t>EXHIBITION CHANGES</w:t>
      </w:r>
    </w:p>
    <w:p w14:paraId="6A046EFB" w14:textId="4F2C9A28" w:rsidR="001D7A53" w:rsidRDefault="001D7A53" w:rsidP="00B648E7">
      <w:pPr>
        <w:spacing w:before="120" w:after="120"/>
        <w:ind w:right="-35"/>
        <w:rPr>
          <w:szCs w:val="24"/>
        </w:rPr>
      </w:pPr>
      <w:r>
        <w:rPr>
          <w:szCs w:val="24"/>
        </w:rPr>
        <w:t>Post-exhibition changes are noted below:</w:t>
      </w:r>
    </w:p>
    <w:p w14:paraId="57CF7EFD" w14:textId="77777777" w:rsidR="00B648E7" w:rsidRDefault="00B648E7" w:rsidP="00B648E7">
      <w:pPr>
        <w:rPr>
          <w:b/>
          <w:i/>
          <w:sz w:val="20"/>
        </w:rPr>
      </w:pPr>
      <w:r>
        <w:rPr>
          <w:b/>
          <w:i/>
        </w:rPr>
        <w:lastRenderedPageBreak/>
        <w:t xml:space="preserve">Heritage Item No. 492 – </w:t>
      </w:r>
      <w:proofErr w:type="spellStart"/>
      <w:r>
        <w:rPr>
          <w:b/>
          <w:i/>
        </w:rPr>
        <w:t>Lisgar</w:t>
      </w:r>
      <w:proofErr w:type="spellEnd"/>
      <w:r>
        <w:rPr>
          <w:b/>
          <w:i/>
        </w:rPr>
        <w:t xml:space="preserve"> Gardens (23 </w:t>
      </w:r>
      <w:proofErr w:type="spellStart"/>
      <w:r>
        <w:rPr>
          <w:b/>
          <w:i/>
        </w:rPr>
        <w:t>Lisgar</w:t>
      </w:r>
      <w:proofErr w:type="spellEnd"/>
      <w:r>
        <w:rPr>
          <w:b/>
          <w:i/>
        </w:rPr>
        <w:t xml:space="preserve"> Road, Hornsby) – Deleted from proposal</w:t>
      </w:r>
    </w:p>
    <w:p w14:paraId="4E479FA1" w14:textId="7FEC94C9" w:rsidR="00B648E7" w:rsidRDefault="00B648E7" w:rsidP="00B648E7">
      <w:pPr>
        <w:spacing w:before="240" w:after="120"/>
        <w:ind w:right="-35"/>
        <w:rPr>
          <w:rFonts w:cs="Arial"/>
          <w:szCs w:val="24"/>
        </w:rPr>
      </w:pPr>
      <w:r w:rsidRPr="00FC6069">
        <w:rPr>
          <w:rFonts w:cs="Arial"/>
          <w:szCs w:val="24"/>
        </w:rPr>
        <w:t>Submissions raise</w:t>
      </w:r>
      <w:r>
        <w:rPr>
          <w:rFonts w:cs="Arial"/>
          <w:szCs w:val="24"/>
        </w:rPr>
        <w:t>d</w:t>
      </w:r>
      <w:r w:rsidRPr="00FC6069">
        <w:rPr>
          <w:rFonts w:cs="Arial"/>
          <w:szCs w:val="24"/>
        </w:rPr>
        <w:t xml:space="preserve"> concern about the proposed amendment to remove Florence Cotton Park from the address and map for Heritage Item No. 492 - </w:t>
      </w:r>
      <w:proofErr w:type="spellStart"/>
      <w:r w:rsidRPr="00FC6069">
        <w:rPr>
          <w:rFonts w:cs="Arial"/>
          <w:szCs w:val="24"/>
        </w:rPr>
        <w:t>Lisgar</w:t>
      </w:r>
      <w:proofErr w:type="spellEnd"/>
      <w:r w:rsidRPr="00FC6069">
        <w:rPr>
          <w:rFonts w:cs="Arial"/>
          <w:szCs w:val="24"/>
        </w:rPr>
        <w:t xml:space="preserve"> Gardens, as it could allow a mountain bike trail and/or 10/50 clearing on Critically Endangered Ecological Communities and other significant trees.</w:t>
      </w:r>
    </w:p>
    <w:p w14:paraId="2CC3B6A9" w14:textId="77777777" w:rsidR="00B648E7" w:rsidRPr="0064141E" w:rsidRDefault="00B648E7" w:rsidP="00B648E7">
      <w:pPr>
        <w:spacing w:after="120"/>
        <w:ind w:right="-35"/>
        <w:rPr>
          <w:rFonts w:cs="Arial"/>
          <w:szCs w:val="24"/>
          <w:u w:val="single"/>
        </w:rPr>
      </w:pPr>
      <w:r w:rsidRPr="0064141E">
        <w:rPr>
          <w:rFonts w:cs="Arial"/>
          <w:szCs w:val="24"/>
          <w:u w:val="single"/>
        </w:rPr>
        <w:t>Post-Exhibition Change</w:t>
      </w:r>
    </w:p>
    <w:p w14:paraId="6B433CB2" w14:textId="12BE7F87" w:rsidR="00B648E7" w:rsidRDefault="00B648E7" w:rsidP="00B648E7">
      <w:pPr>
        <w:spacing w:after="120"/>
        <w:ind w:right="-35"/>
        <w:rPr>
          <w:rFonts w:cs="Arial"/>
          <w:szCs w:val="24"/>
        </w:rPr>
      </w:pPr>
      <w:r>
        <w:rPr>
          <w:rFonts w:cs="Arial"/>
          <w:szCs w:val="24"/>
        </w:rPr>
        <w:t xml:space="preserve">Council has amended the proposal to delete the proposed changes to the heritage map and property description and supports </w:t>
      </w:r>
      <w:r w:rsidR="007050CD">
        <w:rPr>
          <w:rFonts w:cs="Arial"/>
          <w:szCs w:val="24"/>
        </w:rPr>
        <w:t>the</w:t>
      </w:r>
      <w:r>
        <w:rPr>
          <w:rFonts w:cs="Arial"/>
          <w:szCs w:val="24"/>
        </w:rPr>
        <w:t xml:space="preserve"> Heritage Advisory Committee that advised to consider this property through Council’s Comprehensive Heritage Review at a later date.</w:t>
      </w:r>
    </w:p>
    <w:p w14:paraId="0D7C6790" w14:textId="77777777" w:rsidR="00B648E7" w:rsidRDefault="00B648E7" w:rsidP="00B648E7">
      <w:pPr>
        <w:spacing w:after="120"/>
        <w:ind w:right="-35"/>
        <w:rPr>
          <w:rFonts w:cs="Arial"/>
          <w:szCs w:val="24"/>
          <w:u w:val="single"/>
        </w:rPr>
      </w:pPr>
      <w:r w:rsidRPr="005C34D1">
        <w:rPr>
          <w:rFonts w:cs="Arial"/>
          <w:szCs w:val="24"/>
          <w:u w:val="single"/>
        </w:rPr>
        <w:t>Department comment</w:t>
      </w:r>
    </w:p>
    <w:p w14:paraId="789DAC31" w14:textId="77777777" w:rsidR="00B648E7" w:rsidRDefault="00B648E7" w:rsidP="00B648E7">
      <w:pPr>
        <w:spacing w:after="120"/>
        <w:ind w:right="-35"/>
        <w:rPr>
          <w:rFonts w:cs="Arial"/>
          <w:szCs w:val="24"/>
          <w:u w:val="single"/>
        </w:rPr>
      </w:pPr>
      <w:r>
        <w:rPr>
          <w:rFonts w:cs="Arial"/>
          <w:szCs w:val="24"/>
        </w:rPr>
        <w:t xml:space="preserve">The post-exhibition amendment is supported, is minor, and no further public exhibition is necessary. </w:t>
      </w:r>
      <w:r w:rsidRPr="005C34D1">
        <w:rPr>
          <w:rFonts w:cs="Arial"/>
          <w:szCs w:val="24"/>
          <w:u w:val="single"/>
        </w:rPr>
        <w:t xml:space="preserve"> </w:t>
      </w:r>
    </w:p>
    <w:p w14:paraId="53E3CC6F" w14:textId="77777777" w:rsidR="00B648E7" w:rsidRDefault="00B648E7" w:rsidP="00B648E7">
      <w:pPr>
        <w:rPr>
          <w:b/>
          <w:i/>
          <w:sz w:val="20"/>
        </w:rPr>
      </w:pPr>
      <w:r>
        <w:rPr>
          <w:b/>
          <w:i/>
        </w:rPr>
        <w:t>Heritage Item No. 495 – Mount Wilga (2A Manor Road, Hornsby) – Deleted from proposal</w:t>
      </w:r>
    </w:p>
    <w:p w14:paraId="6526A93F" w14:textId="74D9CDFC" w:rsidR="00B648E7" w:rsidRDefault="00B648E7" w:rsidP="00B648E7">
      <w:pPr>
        <w:shd w:val="clear" w:color="auto" w:fill="FFFFFF"/>
        <w:spacing w:before="240"/>
        <w:rPr>
          <w:sz w:val="20"/>
        </w:rPr>
      </w:pPr>
      <w:r>
        <w:t xml:space="preserve">Submissions raised concern about the proposed amendment to correct the listing to reflect the current Lot and DP as it does not address the reference in the inventory sheet to the grounds which surround the mansion, </w:t>
      </w:r>
      <w:r w:rsidR="00F3463F">
        <w:t xml:space="preserve">and as </w:t>
      </w:r>
      <w:r>
        <w:t>10/50 clearing on Critically Endangered Ecological Communities and other significant trees may be allo</w:t>
      </w:r>
      <w:r w:rsidR="00F3463F">
        <w:t xml:space="preserve">wed </w:t>
      </w:r>
      <w:r>
        <w:t xml:space="preserve">if the </w:t>
      </w:r>
      <w:r>
        <w:rPr>
          <w:i/>
        </w:rPr>
        <w:t>HLEP</w:t>
      </w:r>
      <w:r>
        <w:t xml:space="preserve"> Heritage Maps are amended.</w:t>
      </w:r>
    </w:p>
    <w:p w14:paraId="1737B772" w14:textId="77777777" w:rsidR="00B648E7" w:rsidRDefault="00B648E7" w:rsidP="00F3463F">
      <w:pPr>
        <w:spacing w:before="240" w:after="120"/>
        <w:ind w:right="-35"/>
        <w:rPr>
          <w:rFonts w:cs="Arial"/>
          <w:szCs w:val="24"/>
          <w:u w:val="single"/>
        </w:rPr>
      </w:pPr>
      <w:r>
        <w:rPr>
          <w:rFonts w:cs="Arial"/>
          <w:szCs w:val="24"/>
          <w:u w:val="single"/>
        </w:rPr>
        <w:t>Council comment</w:t>
      </w:r>
    </w:p>
    <w:p w14:paraId="4F8556EC" w14:textId="439B6C11" w:rsidR="00B648E7" w:rsidRDefault="00B648E7" w:rsidP="00B648E7">
      <w:pPr>
        <w:spacing w:after="120"/>
        <w:ind w:right="-35"/>
        <w:rPr>
          <w:rFonts w:cs="Arial"/>
          <w:szCs w:val="24"/>
        </w:rPr>
      </w:pPr>
      <w:r>
        <w:rPr>
          <w:rFonts w:cs="Arial"/>
          <w:szCs w:val="24"/>
        </w:rPr>
        <w:t>Council’s submissions report</w:t>
      </w:r>
      <w:r w:rsidR="000B5E95">
        <w:rPr>
          <w:rFonts w:cs="Arial"/>
          <w:szCs w:val="24"/>
        </w:rPr>
        <w:t xml:space="preserve"> </w:t>
      </w:r>
      <w:r w:rsidR="000B5E95" w:rsidRPr="00F679B1">
        <w:rPr>
          <w:rFonts w:cs="Arial"/>
          <w:b/>
          <w:bCs/>
          <w:szCs w:val="24"/>
        </w:rPr>
        <w:t>(Attachment C4)</w:t>
      </w:r>
      <w:r>
        <w:rPr>
          <w:rFonts w:cs="Arial"/>
          <w:szCs w:val="24"/>
        </w:rPr>
        <w:t xml:space="preserve"> states that the site has been subdivided twice (2011 and 2014) with support from the NSW Heritage Office, and a further approval for subdivision. The current lot description is that of the 2011 subdivision and is now historic. Council’s Heritage Advisory Committee is divided over this amendment and has advised Council to remove it from the current LEP amendment in favour of it being </w:t>
      </w:r>
      <w:r w:rsidR="00FC495E">
        <w:rPr>
          <w:rFonts w:cs="Arial"/>
          <w:szCs w:val="24"/>
        </w:rPr>
        <w:t xml:space="preserve">considered as </w:t>
      </w:r>
      <w:r>
        <w:rPr>
          <w:rFonts w:cs="Arial"/>
          <w:szCs w:val="24"/>
        </w:rPr>
        <w:t xml:space="preserve">part of the Comprehensive Heritage Review. Council has acted on the advice of the Heritage Advisory Committee. </w:t>
      </w:r>
    </w:p>
    <w:p w14:paraId="3805A165" w14:textId="70A0B424" w:rsidR="00B648E7" w:rsidRPr="002504B9" w:rsidRDefault="00B648E7" w:rsidP="00B648E7">
      <w:pPr>
        <w:spacing w:after="120"/>
        <w:ind w:right="-35"/>
        <w:rPr>
          <w:rFonts w:cs="Arial"/>
          <w:szCs w:val="24"/>
          <w:u w:val="single"/>
        </w:rPr>
      </w:pPr>
      <w:r w:rsidRPr="002504B9">
        <w:rPr>
          <w:rFonts w:cs="Arial"/>
          <w:szCs w:val="24"/>
          <w:u w:val="single"/>
        </w:rPr>
        <w:t xml:space="preserve">Department </w:t>
      </w:r>
      <w:r w:rsidR="008263AB">
        <w:rPr>
          <w:rFonts w:cs="Arial"/>
          <w:szCs w:val="24"/>
          <w:u w:val="single"/>
        </w:rPr>
        <w:t>c</w:t>
      </w:r>
      <w:r w:rsidRPr="002504B9">
        <w:rPr>
          <w:rFonts w:cs="Arial"/>
          <w:szCs w:val="24"/>
          <w:u w:val="single"/>
        </w:rPr>
        <w:t>omment</w:t>
      </w:r>
    </w:p>
    <w:p w14:paraId="5AFE194E" w14:textId="77777777" w:rsidR="008263AB" w:rsidRDefault="00B648E7" w:rsidP="0007048D">
      <w:pPr>
        <w:spacing w:after="120"/>
        <w:ind w:right="-35"/>
        <w:rPr>
          <w:rFonts w:cs="Arial"/>
          <w:szCs w:val="24"/>
        </w:rPr>
      </w:pPr>
      <w:r>
        <w:rPr>
          <w:rFonts w:cs="Arial"/>
          <w:szCs w:val="24"/>
        </w:rPr>
        <w:t>The post-exhibition amendment is supported, and no further public exhibition is necessary.</w:t>
      </w:r>
    </w:p>
    <w:p w14:paraId="4D23C8B1" w14:textId="77777777" w:rsidR="008263AB" w:rsidRDefault="008263AB" w:rsidP="0007048D">
      <w:pPr>
        <w:spacing w:after="120"/>
        <w:ind w:right="-35"/>
        <w:rPr>
          <w:rFonts w:cs="Arial"/>
          <w:b/>
          <w:bCs/>
          <w:i/>
          <w:iCs/>
          <w:szCs w:val="24"/>
        </w:rPr>
      </w:pPr>
      <w:r w:rsidRPr="008263AB">
        <w:rPr>
          <w:rFonts w:cs="Arial"/>
          <w:b/>
          <w:bCs/>
          <w:i/>
          <w:iCs/>
          <w:szCs w:val="24"/>
        </w:rPr>
        <w:t>Savings Provision</w:t>
      </w:r>
    </w:p>
    <w:p w14:paraId="6A1F3EFD" w14:textId="702AF80E" w:rsidR="008263AB" w:rsidRDefault="008263AB" w:rsidP="0007048D">
      <w:pPr>
        <w:spacing w:after="120"/>
        <w:ind w:right="-35"/>
        <w:rPr>
          <w:rFonts w:cs="Arial"/>
          <w:szCs w:val="24"/>
        </w:rPr>
      </w:pPr>
      <w:r>
        <w:rPr>
          <w:rFonts w:cs="Arial"/>
          <w:szCs w:val="24"/>
        </w:rPr>
        <w:t xml:space="preserve">A savings provision was requested by Council staff during the finalisation of the LEP and forms part of the final LEP </w:t>
      </w:r>
      <w:r w:rsidRPr="008263AB">
        <w:rPr>
          <w:rFonts w:cs="Arial"/>
          <w:b/>
          <w:bCs/>
          <w:szCs w:val="24"/>
        </w:rPr>
        <w:t>(Attachment LEP)</w:t>
      </w:r>
      <w:r>
        <w:rPr>
          <w:rFonts w:cs="Arial"/>
          <w:b/>
          <w:bCs/>
          <w:szCs w:val="24"/>
        </w:rPr>
        <w:t xml:space="preserve"> </w:t>
      </w:r>
      <w:r>
        <w:rPr>
          <w:rFonts w:cs="Arial"/>
          <w:szCs w:val="24"/>
        </w:rPr>
        <w:t xml:space="preserve">and is to be inserted into Section 1.8A of Hornsby LEP 2013. </w:t>
      </w:r>
    </w:p>
    <w:p w14:paraId="2E71F30A" w14:textId="4C4305B3" w:rsidR="008263AB" w:rsidRPr="008263AB" w:rsidRDefault="008263AB" w:rsidP="0007048D">
      <w:pPr>
        <w:spacing w:after="120"/>
        <w:ind w:right="-35"/>
        <w:rPr>
          <w:rFonts w:cs="Arial"/>
          <w:szCs w:val="24"/>
          <w:u w:val="single"/>
        </w:rPr>
      </w:pPr>
      <w:r w:rsidRPr="008263AB">
        <w:rPr>
          <w:rFonts w:cs="Arial"/>
          <w:szCs w:val="24"/>
          <w:u w:val="single"/>
        </w:rPr>
        <w:t>Department comment</w:t>
      </w:r>
    </w:p>
    <w:p w14:paraId="5DDCE5F1" w14:textId="4BC061BA" w:rsidR="00B648E7" w:rsidRPr="008263AB" w:rsidRDefault="008263AB" w:rsidP="0007048D">
      <w:pPr>
        <w:spacing w:after="120"/>
        <w:ind w:right="-35"/>
        <w:rPr>
          <w:rFonts w:cs="Arial"/>
          <w:szCs w:val="24"/>
        </w:rPr>
      </w:pPr>
      <w:r>
        <w:rPr>
          <w:rFonts w:cs="Arial"/>
          <w:szCs w:val="24"/>
        </w:rPr>
        <w:t xml:space="preserve">The Department considers this a reasonable and minor request, that allows for the continued assessment of development applications that had been made but not finally determined prior to this amendment.  </w:t>
      </w:r>
    </w:p>
    <w:p w14:paraId="7587E96D" w14:textId="77777777" w:rsidR="00EB3185" w:rsidRPr="00C518C1" w:rsidRDefault="00F94AC2" w:rsidP="008E41F5">
      <w:pPr>
        <w:keepNext/>
        <w:numPr>
          <w:ilvl w:val="0"/>
          <w:numId w:val="34"/>
        </w:numPr>
        <w:tabs>
          <w:tab w:val="left" w:pos="284"/>
        </w:tabs>
        <w:spacing w:before="240"/>
        <w:ind w:left="357" w:right="-35" w:hanging="357"/>
        <w:rPr>
          <w:szCs w:val="24"/>
        </w:rPr>
      </w:pPr>
      <w:r w:rsidRPr="000D6C66">
        <w:rPr>
          <w:b/>
          <w:szCs w:val="24"/>
        </w:rPr>
        <w:t xml:space="preserve">ASSESSMENT </w:t>
      </w:r>
    </w:p>
    <w:p w14:paraId="030F0D3F" w14:textId="7CB5BAFC" w:rsidR="006446B9" w:rsidRDefault="00CA5D3F" w:rsidP="00A85EC6">
      <w:pPr>
        <w:spacing w:after="120"/>
        <w:ind w:right="-35"/>
        <w:rPr>
          <w:szCs w:val="24"/>
        </w:rPr>
      </w:pPr>
      <w:bookmarkStart w:id="3" w:name="_Hlk53581263"/>
      <w:r>
        <w:rPr>
          <w:szCs w:val="24"/>
        </w:rPr>
        <w:t xml:space="preserve">The </w:t>
      </w:r>
      <w:r w:rsidR="00FC495E">
        <w:rPr>
          <w:szCs w:val="24"/>
        </w:rPr>
        <w:t>P</w:t>
      </w:r>
      <w:r>
        <w:rPr>
          <w:szCs w:val="24"/>
        </w:rPr>
        <w:t xml:space="preserve">lanning </w:t>
      </w:r>
      <w:r w:rsidR="00FC495E">
        <w:rPr>
          <w:szCs w:val="24"/>
        </w:rPr>
        <w:t>P</w:t>
      </w:r>
      <w:r>
        <w:rPr>
          <w:szCs w:val="24"/>
        </w:rPr>
        <w:t xml:space="preserve">roposal seeks to </w:t>
      </w:r>
      <w:r w:rsidR="00085F6C">
        <w:rPr>
          <w:szCs w:val="24"/>
        </w:rPr>
        <w:t xml:space="preserve">promote </w:t>
      </w:r>
      <w:r w:rsidR="00237CF2">
        <w:rPr>
          <w:szCs w:val="24"/>
        </w:rPr>
        <w:t>high architectural standards and urban design</w:t>
      </w:r>
      <w:r w:rsidR="009562ED">
        <w:rPr>
          <w:szCs w:val="24"/>
        </w:rPr>
        <w:t xml:space="preserve"> for all residential flat buildings and townhouses</w:t>
      </w:r>
      <w:r w:rsidR="00D43110">
        <w:rPr>
          <w:szCs w:val="24"/>
        </w:rPr>
        <w:t>, correct zoning and minor heritage anomalies</w:t>
      </w:r>
      <w:r w:rsidR="00061314">
        <w:rPr>
          <w:szCs w:val="24"/>
        </w:rPr>
        <w:t xml:space="preserve">, and amend land zoning to reflect the extension of </w:t>
      </w:r>
      <w:proofErr w:type="spellStart"/>
      <w:r w:rsidR="00061314">
        <w:rPr>
          <w:szCs w:val="24"/>
        </w:rPr>
        <w:t>Marramarra</w:t>
      </w:r>
      <w:proofErr w:type="spellEnd"/>
      <w:r w:rsidR="00061314">
        <w:rPr>
          <w:szCs w:val="24"/>
        </w:rPr>
        <w:t xml:space="preserve"> National Park</w:t>
      </w:r>
      <w:r w:rsidR="001E17C6">
        <w:rPr>
          <w:szCs w:val="24"/>
        </w:rPr>
        <w:t>.</w:t>
      </w:r>
      <w:r w:rsidR="00856328">
        <w:rPr>
          <w:szCs w:val="24"/>
        </w:rPr>
        <w:t xml:space="preserve"> </w:t>
      </w:r>
      <w:r w:rsidR="006446B9">
        <w:rPr>
          <w:szCs w:val="24"/>
        </w:rPr>
        <w:t xml:space="preserve">The </w:t>
      </w:r>
      <w:r w:rsidR="00C814A5">
        <w:rPr>
          <w:szCs w:val="24"/>
        </w:rPr>
        <w:t xml:space="preserve">Planning </w:t>
      </w:r>
      <w:r w:rsidR="006446B9">
        <w:rPr>
          <w:szCs w:val="24"/>
        </w:rPr>
        <w:t xml:space="preserve">Proposal is also linked to Council’s ongoing LEP Review Program, with the submission and finalisation of this amendment a major milestone in the program. </w:t>
      </w:r>
      <w:r w:rsidR="00701DC7">
        <w:rPr>
          <w:szCs w:val="24"/>
        </w:rPr>
        <w:t xml:space="preserve">As this is a Housekeeping </w:t>
      </w:r>
      <w:r w:rsidR="00701DC7">
        <w:rPr>
          <w:szCs w:val="24"/>
        </w:rPr>
        <w:lastRenderedPageBreak/>
        <w:t xml:space="preserve">amendment, the proposal contains various amendments to the LEP, which </w:t>
      </w:r>
      <w:r w:rsidR="00787943">
        <w:rPr>
          <w:szCs w:val="24"/>
        </w:rPr>
        <w:t>are</w:t>
      </w:r>
      <w:r w:rsidR="00701DC7">
        <w:rPr>
          <w:szCs w:val="24"/>
        </w:rPr>
        <w:t xml:space="preserve"> set out below:</w:t>
      </w:r>
    </w:p>
    <w:p w14:paraId="2790D822" w14:textId="77777777" w:rsidR="00701DC7" w:rsidRPr="002412E3" w:rsidRDefault="00701DC7" w:rsidP="00701DC7">
      <w:pPr>
        <w:rPr>
          <w:u w:val="single"/>
        </w:rPr>
      </w:pPr>
      <w:r w:rsidRPr="002412E3">
        <w:rPr>
          <w:u w:val="single"/>
        </w:rPr>
        <w:t>Heritage Anomalies</w:t>
      </w:r>
    </w:p>
    <w:p w14:paraId="47082D07" w14:textId="3BE60D96" w:rsidR="002412E3" w:rsidRDefault="00701DC7" w:rsidP="00701DC7">
      <w:r>
        <w:t xml:space="preserve">The Planning proposal appropriately corrects anomalies and aims to more accurately identify heritage items in the LGA. </w:t>
      </w:r>
    </w:p>
    <w:p w14:paraId="03A40F6F" w14:textId="77777777" w:rsidR="002412E3" w:rsidRDefault="002412E3" w:rsidP="00701DC7"/>
    <w:p w14:paraId="0B5D6184" w14:textId="77777777" w:rsidR="00701DC7" w:rsidRPr="002412E3" w:rsidRDefault="00701DC7" w:rsidP="00701DC7">
      <w:pPr>
        <w:rPr>
          <w:u w:val="single"/>
        </w:rPr>
      </w:pPr>
      <w:proofErr w:type="spellStart"/>
      <w:r w:rsidRPr="002412E3">
        <w:rPr>
          <w:u w:val="single"/>
        </w:rPr>
        <w:t>Rezonings</w:t>
      </w:r>
      <w:proofErr w:type="spellEnd"/>
    </w:p>
    <w:p w14:paraId="06F164EB" w14:textId="47F0C3EE" w:rsidR="00701DC7" w:rsidRDefault="00701DC7" w:rsidP="00701DC7">
      <w:r>
        <w:t>Amendments to land zoning are minor in nature for land in Hornsby Heights and Galston and are to more accurately reflect current residential uses in business zoned land that both have development consent from 1998</w:t>
      </w:r>
      <w:r w:rsidR="002412E3">
        <w:t>.</w:t>
      </w:r>
      <w:r>
        <w:t xml:space="preserve">The other rezoning is for </w:t>
      </w:r>
      <w:proofErr w:type="spellStart"/>
      <w:r>
        <w:t>Coba</w:t>
      </w:r>
      <w:proofErr w:type="spellEnd"/>
      <w:r>
        <w:t xml:space="preserve"> Point, Berowra and is in response to a notice from </w:t>
      </w:r>
      <w:r w:rsidR="00F679B1">
        <w:t xml:space="preserve">NSW </w:t>
      </w:r>
      <w:r>
        <w:t>National Parks and Wildlife advis</w:t>
      </w:r>
      <w:r w:rsidR="00F679B1">
        <w:t>ing</w:t>
      </w:r>
      <w:r>
        <w:t xml:space="preserve"> </w:t>
      </w:r>
      <w:r w:rsidR="00F679B1">
        <w:t>of</w:t>
      </w:r>
      <w:r>
        <w:t xml:space="preserve"> an expansion of </w:t>
      </w:r>
      <w:proofErr w:type="spellStart"/>
      <w:r>
        <w:t>Marramarra</w:t>
      </w:r>
      <w:proofErr w:type="spellEnd"/>
      <w:r>
        <w:t xml:space="preserve"> National Park up to </w:t>
      </w:r>
      <w:proofErr w:type="spellStart"/>
      <w:r>
        <w:t>Coba</w:t>
      </w:r>
      <w:proofErr w:type="spellEnd"/>
      <w:r>
        <w:t xml:space="preserve"> Point.</w:t>
      </w:r>
    </w:p>
    <w:p w14:paraId="75B93793" w14:textId="77777777" w:rsidR="00701DC7" w:rsidRDefault="00701DC7" w:rsidP="00701DC7"/>
    <w:p w14:paraId="5D96090C" w14:textId="77777777" w:rsidR="00701DC7" w:rsidRPr="00812235" w:rsidRDefault="00701DC7" w:rsidP="00701DC7">
      <w:pPr>
        <w:rPr>
          <w:u w:val="single"/>
        </w:rPr>
      </w:pPr>
      <w:r w:rsidRPr="00812235">
        <w:rPr>
          <w:u w:val="single"/>
        </w:rPr>
        <w:t>Additional Permitted Use</w:t>
      </w:r>
    </w:p>
    <w:p w14:paraId="5FE5FAEF" w14:textId="77777777" w:rsidR="00701DC7" w:rsidRDefault="00701DC7" w:rsidP="00701DC7">
      <w:r>
        <w:t xml:space="preserve">The additional permitted use of a ‘restaurant or café’ will permit a longstanding use of the site. It also recognises that the impacts of the current and ongoing use </w:t>
      </w:r>
      <w:proofErr w:type="gramStart"/>
      <w:r>
        <w:t>is</w:t>
      </w:r>
      <w:proofErr w:type="gramEnd"/>
      <w:r>
        <w:t xml:space="preserve"> known and has demonstrated compatibility with the surrounding residential properties.</w:t>
      </w:r>
    </w:p>
    <w:p w14:paraId="14D87A0B" w14:textId="77777777" w:rsidR="00701DC7" w:rsidRDefault="00701DC7" w:rsidP="00701DC7">
      <w:r>
        <w:t xml:space="preserve"> </w:t>
      </w:r>
    </w:p>
    <w:p w14:paraId="4FCEBBF5" w14:textId="77777777" w:rsidR="00701DC7" w:rsidRPr="00812235" w:rsidRDefault="00701DC7" w:rsidP="00701DC7">
      <w:pPr>
        <w:rPr>
          <w:u w:val="single"/>
        </w:rPr>
      </w:pPr>
      <w:r w:rsidRPr="00812235">
        <w:rPr>
          <w:u w:val="single"/>
        </w:rPr>
        <w:t>Design Excellence</w:t>
      </w:r>
      <w:r>
        <w:rPr>
          <w:u w:val="single"/>
        </w:rPr>
        <w:t xml:space="preserve"> </w:t>
      </w:r>
    </w:p>
    <w:p w14:paraId="247B83D3" w14:textId="276B16E4" w:rsidR="00701DC7" w:rsidRDefault="00701DC7" w:rsidP="00701DC7">
      <w:r>
        <w:t>The proposed amendments to the design excellence clause and height of building standard are included within the planning proposal as a result of a report entitled the ‘Hornsby Shire Council Design Excellence and Residential Development Review’ (Design Excellence Review) prepared by Architects Johannsen and Associates (AJA) dated May 2018.</w:t>
      </w:r>
    </w:p>
    <w:p w14:paraId="317D0993" w14:textId="77777777" w:rsidR="00701DC7" w:rsidRDefault="00701DC7" w:rsidP="00701DC7"/>
    <w:p w14:paraId="24E510AA" w14:textId="7A995A8C" w:rsidR="00701DC7" w:rsidRDefault="00701DC7" w:rsidP="00701DC7">
      <w:r>
        <w:t>The report was pr</w:t>
      </w:r>
      <w:r w:rsidR="002412E3">
        <w:t>epared</w:t>
      </w:r>
      <w:r>
        <w:t xml:space="preserve"> in response to concerns raised by the community regarding the built form outcomes in Councils housing precincts and identified a range of recommendations to improve built form and character. Various other recommendations </w:t>
      </w:r>
      <w:r w:rsidR="002412E3">
        <w:t xml:space="preserve">have </w:t>
      </w:r>
      <w:r>
        <w:t xml:space="preserve">resulted in amendments to Hornsby Development Control Plan to complement LEP changes. </w:t>
      </w:r>
    </w:p>
    <w:p w14:paraId="02BD0F72" w14:textId="77777777" w:rsidR="00701DC7" w:rsidRDefault="00701DC7" w:rsidP="00701DC7">
      <w:r>
        <w:t xml:space="preserve"> </w:t>
      </w:r>
    </w:p>
    <w:p w14:paraId="2A06390B" w14:textId="77777777" w:rsidR="00701DC7" w:rsidRPr="0061359B" w:rsidRDefault="00701DC7" w:rsidP="00701DC7">
      <w:pPr>
        <w:rPr>
          <w:u w:val="single"/>
        </w:rPr>
      </w:pPr>
      <w:r w:rsidRPr="0061359B">
        <w:rPr>
          <w:u w:val="single"/>
        </w:rPr>
        <w:t>Reduction of height in R3 zones</w:t>
      </w:r>
      <w:r>
        <w:rPr>
          <w:u w:val="single"/>
        </w:rPr>
        <w:t xml:space="preserve"> from 17.5m to 16.5m</w:t>
      </w:r>
    </w:p>
    <w:p w14:paraId="4BC7306B" w14:textId="289D12E1" w:rsidR="00701DC7" w:rsidRDefault="00701DC7" w:rsidP="00701DC7">
      <w:r>
        <w:t>Council identified that heights of buildings of 17.5m in conjunction with upper level setbacks has resulted in the ‘mezzanine’ form which is disproportionate with the overall scale of 5-storey development. The reduction in height will result in the same built form (5 storeys) but removing the mezzanine top-heavy des</w:t>
      </w:r>
      <w:r w:rsidR="00B20204">
        <w:t>ign.</w:t>
      </w:r>
    </w:p>
    <w:p w14:paraId="2CEA0028" w14:textId="77777777" w:rsidR="005C0EF3" w:rsidRDefault="005C0EF3" w:rsidP="00701DC7"/>
    <w:p w14:paraId="0A101F63" w14:textId="77777777" w:rsidR="00701DC7" w:rsidRDefault="00701DC7" w:rsidP="00732064">
      <w:pPr>
        <w:ind w:right="-35"/>
        <w:rPr>
          <w:szCs w:val="24"/>
        </w:rPr>
      </w:pPr>
    </w:p>
    <w:p w14:paraId="4D1A19CC" w14:textId="48876775" w:rsidR="006446B9" w:rsidRDefault="006446B9" w:rsidP="00A85EC6">
      <w:pPr>
        <w:spacing w:after="120"/>
        <w:ind w:right="-35"/>
        <w:rPr>
          <w:szCs w:val="24"/>
        </w:rPr>
      </w:pPr>
      <w:r>
        <w:rPr>
          <w:szCs w:val="24"/>
        </w:rPr>
        <w:t xml:space="preserve">The </w:t>
      </w:r>
      <w:r w:rsidRPr="006446B9">
        <w:rPr>
          <w:szCs w:val="24"/>
        </w:rPr>
        <w:t xml:space="preserve">proposal gives effect to the </w:t>
      </w:r>
      <w:r>
        <w:rPr>
          <w:szCs w:val="24"/>
        </w:rPr>
        <w:t>North</w:t>
      </w:r>
      <w:r w:rsidRPr="006446B9">
        <w:rPr>
          <w:szCs w:val="24"/>
        </w:rPr>
        <w:t xml:space="preserve"> District Plan through the optimisation </w:t>
      </w:r>
      <w:r>
        <w:rPr>
          <w:szCs w:val="24"/>
        </w:rPr>
        <w:t xml:space="preserve">and </w:t>
      </w:r>
      <w:r w:rsidRPr="006446B9">
        <w:rPr>
          <w:szCs w:val="24"/>
        </w:rPr>
        <w:t>improve</w:t>
      </w:r>
      <w:r>
        <w:rPr>
          <w:szCs w:val="24"/>
        </w:rPr>
        <w:t>ment in</w:t>
      </w:r>
      <w:r w:rsidRPr="006446B9">
        <w:rPr>
          <w:szCs w:val="24"/>
        </w:rPr>
        <w:t xml:space="preserve"> urban design outcomes </w:t>
      </w:r>
      <w:r>
        <w:rPr>
          <w:szCs w:val="24"/>
        </w:rPr>
        <w:t xml:space="preserve">that can be </w:t>
      </w:r>
      <w:r w:rsidRPr="006446B9">
        <w:rPr>
          <w:szCs w:val="24"/>
        </w:rPr>
        <w:t xml:space="preserve">achieved </w:t>
      </w:r>
      <w:r>
        <w:rPr>
          <w:szCs w:val="24"/>
        </w:rPr>
        <w:t>through the expansion of the Design Excellence clause, as well as the reduction in the height of building that aims to reduce ‘top heavy’ apartment design.</w:t>
      </w:r>
    </w:p>
    <w:p w14:paraId="3B531222" w14:textId="6DE93A83" w:rsidR="00EF30A9" w:rsidRDefault="00DF10D5" w:rsidP="002412E3">
      <w:pPr>
        <w:spacing w:after="120"/>
        <w:ind w:right="-35"/>
        <w:rPr>
          <w:szCs w:val="24"/>
        </w:rPr>
      </w:pPr>
      <w:r>
        <w:rPr>
          <w:szCs w:val="24"/>
        </w:rPr>
        <w:t xml:space="preserve">The Department also notes Council is undergoing a comprehensive heritage review and supports the post-exhibition amendments that will now become part of that review. </w:t>
      </w:r>
      <w:bookmarkEnd w:id="3"/>
    </w:p>
    <w:p w14:paraId="584A0B9C" w14:textId="77777777" w:rsidR="00DF3018" w:rsidRPr="00354B78" w:rsidRDefault="003B7BB3" w:rsidP="00354B78">
      <w:pPr>
        <w:tabs>
          <w:tab w:val="left" w:pos="1800"/>
          <w:tab w:val="right" w:pos="9000"/>
        </w:tabs>
        <w:spacing w:before="120"/>
        <w:ind w:right="-35"/>
        <w:rPr>
          <w:b/>
          <w:szCs w:val="24"/>
        </w:rPr>
      </w:pPr>
      <w:r>
        <w:rPr>
          <w:b/>
          <w:szCs w:val="24"/>
        </w:rPr>
        <w:t xml:space="preserve">9.1 </w:t>
      </w:r>
      <w:r w:rsidR="00DF3018" w:rsidRPr="00354B78">
        <w:rPr>
          <w:b/>
          <w:szCs w:val="24"/>
        </w:rPr>
        <w:t xml:space="preserve">Section </w:t>
      </w:r>
      <w:r w:rsidR="00E44C75" w:rsidRPr="00354B78">
        <w:rPr>
          <w:b/>
          <w:szCs w:val="24"/>
        </w:rPr>
        <w:t xml:space="preserve">9.1 </w:t>
      </w:r>
      <w:r w:rsidR="00DF3018" w:rsidRPr="00354B78">
        <w:rPr>
          <w:b/>
          <w:szCs w:val="24"/>
        </w:rPr>
        <w:t>Directions</w:t>
      </w:r>
    </w:p>
    <w:p w14:paraId="3B6BE384" w14:textId="16569D9B" w:rsidR="009B08AC" w:rsidRDefault="009B08AC" w:rsidP="00354B78">
      <w:pPr>
        <w:spacing w:after="120"/>
        <w:ind w:right="-35"/>
        <w:rPr>
          <w:szCs w:val="24"/>
        </w:rPr>
      </w:pPr>
      <w:bookmarkStart w:id="4" w:name="_Hlk51685344"/>
      <w:r>
        <w:rPr>
          <w:szCs w:val="24"/>
        </w:rPr>
        <w:t xml:space="preserve">The </w:t>
      </w:r>
      <w:r w:rsidR="00FC495E">
        <w:rPr>
          <w:szCs w:val="24"/>
        </w:rPr>
        <w:t>Planning P</w:t>
      </w:r>
      <w:r>
        <w:rPr>
          <w:szCs w:val="24"/>
        </w:rPr>
        <w:t xml:space="preserve">roposal is consistent with all </w:t>
      </w:r>
      <w:r w:rsidR="00D13004">
        <w:rPr>
          <w:szCs w:val="24"/>
        </w:rPr>
        <w:t>relevant Ministerial Directions</w:t>
      </w:r>
      <w:r w:rsidR="004865C4">
        <w:rPr>
          <w:szCs w:val="24"/>
        </w:rPr>
        <w:t xml:space="preserve"> as addressed in the Gateway </w:t>
      </w:r>
      <w:r w:rsidR="00FC495E">
        <w:rPr>
          <w:szCs w:val="24"/>
        </w:rPr>
        <w:t>D</w:t>
      </w:r>
      <w:r w:rsidR="004865C4">
        <w:rPr>
          <w:szCs w:val="24"/>
        </w:rPr>
        <w:t>etermination</w:t>
      </w:r>
      <w:bookmarkEnd w:id="4"/>
      <w:r w:rsidR="00005DD8">
        <w:rPr>
          <w:szCs w:val="24"/>
        </w:rPr>
        <w:t>. A response to the relevant directions has been provided in the table below.</w:t>
      </w:r>
    </w:p>
    <w:tbl>
      <w:tblPr>
        <w:tblStyle w:val="TableGrid"/>
        <w:tblW w:w="0" w:type="auto"/>
        <w:tblLook w:val="04A0" w:firstRow="1" w:lastRow="0" w:firstColumn="1" w:lastColumn="0" w:noHBand="0" w:noVBand="1"/>
      </w:tblPr>
      <w:tblGrid>
        <w:gridCol w:w="2972"/>
        <w:gridCol w:w="6764"/>
      </w:tblGrid>
      <w:tr w:rsidR="00005DD8" w:rsidRPr="00005DD8" w14:paraId="2FFDEB6C" w14:textId="77777777" w:rsidTr="0015126D">
        <w:tc>
          <w:tcPr>
            <w:tcW w:w="2972" w:type="dxa"/>
            <w:shd w:val="clear" w:color="auto" w:fill="A6A6A6" w:themeFill="background1" w:themeFillShade="A6"/>
          </w:tcPr>
          <w:p w14:paraId="7F29C613" w14:textId="292F9389" w:rsidR="00005DD8" w:rsidRPr="00005DD8" w:rsidRDefault="00005DD8" w:rsidP="00354B78">
            <w:pPr>
              <w:spacing w:after="120"/>
              <w:ind w:right="-35"/>
              <w:rPr>
                <w:b/>
                <w:bCs/>
                <w:szCs w:val="24"/>
              </w:rPr>
            </w:pPr>
            <w:r w:rsidRPr="00005DD8">
              <w:rPr>
                <w:b/>
                <w:bCs/>
                <w:szCs w:val="24"/>
              </w:rPr>
              <w:t>Direction</w:t>
            </w:r>
          </w:p>
        </w:tc>
        <w:tc>
          <w:tcPr>
            <w:tcW w:w="6764" w:type="dxa"/>
            <w:shd w:val="clear" w:color="auto" w:fill="A6A6A6" w:themeFill="background1" w:themeFillShade="A6"/>
          </w:tcPr>
          <w:p w14:paraId="00A0B2F4" w14:textId="5A3DBC19" w:rsidR="00005DD8" w:rsidRPr="00005DD8" w:rsidRDefault="00005DD8" w:rsidP="00354B78">
            <w:pPr>
              <w:spacing w:after="120"/>
              <w:ind w:right="-35"/>
              <w:rPr>
                <w:b/>
                <w:bCs/>
                <w:szCs w:val="24"/>
              </w:rPr>
            </w:pPr>
            <w:r w:rsidRPr="00005DD8">
              <w:rPr>
                <w:b/>
                <w:bCs/>
                <w:szCs w:val="24"/>
              </w:rPr>
              <w:t>Response</w:t>
            </w:r>
          </w:p>
        </w:tc>
      </w:tr>
      <w:tr w:rsidR="0015126D" w14:paraId="5DE24712" w14:textId="77777777" w:rsidTr="0015126D">
        <w:tc>
          <w:tcPr>
            <w:tcW w:w="2972" w:type="dxa"/>
          </w:tcPr>
          <w:p w14:paraId="3B3D4B3A" w14:textId="1883736E" w:rsidR="0015126D" w:rsidRPr="00AF0BD6" w:rsidRDefault="0015126D" w:rsidP="00354B78">
            <w:pPr>
              <w:spacing w:after="120"/>
              <w:ind w:right="-35"/>
              <w:rPr>
                <w:b/>
                <w:bCs/>
                <w:szCs w:val="24"/>
              </w:rPr>
            </w:pPr>
            <w:r w:rsidRPr="00AF0BD6">
              <w:rPr>
                <w:b/>
                <w:bCs/>
                <w:szCs w:val="24"/>
              </w:rPr>
              <w:t>4.4 Planning for Bushfire Protection</w:t>
            </w:r>
          </w:p>
        </w:tc>
        <w:tc>
          <w:tcPr>
            <w:tcW w:w="6764" w:type="dxa"/>
          </w:tcPr>
          <w:p w14:paraId="397BCFDE" w14:textId="13E8FB82" w:rsidR="0015126D" w:rsidRDefault="005F21B1" w:rsidP="00354B78">
            <w:pPr>
              <w:spacing w:after="120"/>
              <w:ind w:right="-35"/>
              <w:rPr>
                <w:szCs w:val="24"/>
              </w:rPr>
            </w:pPr>
            <w:r>
              <w:rPr>
                <w:szCs w:val="24"/>
              </w:rPr>
              <w:t>Consistent.</w:t>
            </w:r>
            <w:r w:rsidR="004C6D4B">
              <w:rPr>
                <w:szCs w:val="24"/>
              </w:rPr>
              <w:t xml:space="preserve"> The proposal seeks to </w:t>
            </w:r>
            <w:r w:rsidR="006A2382">
              <w:rPr>
                <w:szCs w:val="24"/>
              </w:rPr>
              <w:t xml:space="preserve">rezone </w:t>
            </w:r>
            <w:r w:rsidR="00991B10">
              <w:rPr>
                <w:szCs w:val="24"/>
              </w:rPr>
              <w:t>land at Nos. 1-5 Peter Close, Hornsby Heights</w:t>
            </w:r>
            <w:r w:rsidR="00F866CF">
              <w:rPr>
                <w:szCs w:val="24"/>
              </w:rPr>
              <w:t xml:space="preserve"> from B1 Neighbourhood Centre to R2 Low Density Residential</w:t>
            </w:r>
            <w:r w:rsidR="00B24E7C">
              <w:rPr>
                <w:szCs w:val="24"/>
              </w:rPr>
              <w:t xml:space="preserve">, which will correct zoning </w:t>
            </w:r>
            <w:r w:rsidR="00B24E7C">
              <w:rPr>
                <w:szCs w:val="24"/>
              </w:rPr>
              <w:lastRenderedPageBreak/>
              <w:t>anomalies to reflect the longstanding residential use on this site</w:t>
            </w:r>
            <w:r w:rsidR="002D06CF">
              <w:rPr>
                <w:szCs w:val="24"/>
              </w:rPr>
              <w:t>. Part of this site is bushfire prone</w:t>
            </w:r>
            <w:r w:rsidR="00423794">
              <w:rPr>
                <w:szCs w:val="24"/>
              </w:rPr>
              <w:t xml:space="preserve">; however, </w:t>
            </w:r>
            <w:r w:rsidR="00AB40FD">
              <w:rPr>
                <w:szCs w:val="24"/>
              </w:rPr>
              <w:t>the NSW RFS considered the proposal and raise no concerns in relation to bushfire.</w:t>
            </w:r>
          </w:p>
        </w:tc>
      </w:tr>
      <w:tr w:rsidR="0015126D" w14:paraId="0331C5E9" w14:textId="77777777" w:rsidTr="0015126D">
        <w:tc>
          <w:tcPr>
            <w:tcW w:w="2972" w:type="dxa"/>
          </w:tcPr>
          <w:p w14:paraId="649DEF7A" w14:textId="61CDF85C" w:rsidR="0015126D" w:rsidRPr="00AF0BD6" w:rsidRDefault="0015126D" w:rsidP="00354B78">
            <w:pPr>
              <w:spacing w:after="120"/>
              <w:ind w:right="-35"/>
              <w:rPr>
                <w:b/>
                <w:bCs/>
                <w:szCs w:val="24"/>
              </w:rPr>
            </w:pPr>
            <w:r w:rsidRPr="00AF0BD6">
              <w:rPr>
                <w:b/>
                <w:bCs/>
                <w:szCs w:val="24"/>
              </w:rPr>
              <w:lastRenderedPageBreak/>
              <w:t>6.3 Site Specific Provisions</w:t>
            </w:r>
          </w:p>
        </w:tc>
        <w:tc>
          <w:tcPr>
            <w:tcW w:w="6764" w:type="dxa"/>
          </w:tcPr>
          <w:p w14:paraId="19F911EF" w14:textId="263BC4CE" w:rsidR="0015126D" w:rsidRDefault="0039093C" w:rsidP="00354B78">
            <w:pPr>
              <w:spacing w:after="120"/>
              <w:ind w:right="-35"/>
              <w:rPr>
                <w:szCs w:val="24"/>
              </w:rPr>
            </w:pPr>
            <w:r>
              <w:rPr>
                <w:szCs w:val="24"/>
              </w:rPr>
              <w:t>Consistent.</w:t>
            </w:r>
            <w:r w:rsidR="00894007">
              <w:rPr>
                <w:szCs w:val="24"/>
              </w:rPr>
              <w:t xml:space="preserve"> The proposal seeks to allow for ‘restaurant/café’ as an additional permitted use</w:t>
            </w:r>
            <w:r w:rsidR="00F53144">
              <w:rPr>
                <w:szCs w:val="24"/>
              </w:rPr>
              <w:t xml:space="preserve"> at No. 344 Arcadia Road, Galston</w:t>
            </w:r>
            <w:r w:rsidR="00661163">
              <w:rPr>
                <w:szCs w:val="24"/>
              </w:rPr>
              <w:t xml:space="preserve">, </w:t>
            </w:r>
            <w:r w:rsidR="00A9644C">
              <w:rPr>
                <w:szCs w:val="24"/>
              </w:rPr>
              <w:t>which will facilitate ongoing commercial use of the site</w:t>
            </w:r>
            <w:r w:rsidR="000B2AFB">
              <w:rPr>
                <w:szCs w:val="24"/>
              </w:rPr>
              <w:t xml:space="preserve"> without </w:t>
            </w:r>
            <w:r w:rsidR="00D7094B">
              <w:rPr>
                <w:szCs w:val="24"/>
              </w:rPr>
              <w:t xml:space="preserve">imposing unnecessarily restrictive </w:t>
            </w:r>
            <w:r w:rsidR="00A217AE">
              <w:rPr>
                <w:szCs w:val="24"/>
              </w:rPr>
              <w:t>site-specific</w:t>
            </w:r>
            <w:r w:rsidR="00D7094B">
              <w:rPr>
                <w:szCs w:val="24"/>
              </w:rPr>
              <w:t xml:space="preserve"> planning controls.</w:t>
            </w:r>
          </w:p>
        </w:tc>
      </w:tr>
    </w:tbl>
    <w:p w14:paraId="730433FB" w14:textId="77777777" w:rsidR="00005DD8" w:rsidRPr="009B08AC" w:rsidRDefault="00005DD8" w:rsidP="00354B78">
      <w:pPr>
        <w:spacing w:after="120"/>
        <w:ind w:right="-35"/>
        <w:rPr>
          <w:szCs w:val="24"/>
        </w:rPr>
      </w:pPr>
    </w:p>
    <w:p w14:paraId="0941071A" w14:textId="77777777" w:rsidR="00EB3185" w:rsidRPr="00354B78" w:rsidRDefault="003B7BB3" w:rsidP="00354B78">
      <w:pPr>
        <w:tabs>
          <w:tab w:val="left" w:pos="1800"/>
          <w:tab w:val="right" w:pos="9000"/>
        </w:tabs>
        <w:spacing w:before="120"/>
        <w:ind w:right="-35"/>
        <w:rPr>
          <w:b/>
          <w:szCs w:val="24"/>
        </w:rPr>
      </w:pPr>
      <w:r>
        <w:rPr>
          <w:b/>
          <w:szCs w:val="24"/>
        </w:rPr>
        <w:t xml:space="preserve">9.2 </w:t>
      </w:r>
      <w:r w:rsidR="00EB3185" w:rsidRPr="00354B78">
        <w:rPr>
          <w:b/>
          <w:szCs w:val="24"/>
        </w:rPr>
        <w:t xml:space="preserve">State </w:t>
      </w:r>
      <w:r w:rsidR="001D40AA" w:rsidRPr="00354B78">
        <w:rPr>
          <w:b/>
          <w:szCs w:val="24"/>
        </w:rPr>
        <w:t>e</w:t>
      </w:r>
      <w:r w:rsidR="00EB3185" w:rsidRPr="00354B78">
        <w:rPr>
          <w:b/>
          <w:szCs w:val="24"/>
        </w:rPr>
        <w:t xml:space="preserve">nvironmental </w:t>
      </w:r>
      <w:r w:rsidR="001D40AA" w:rsidRPr="00354B78">
        <w:rPr>
          <w:b/>
          <w:szCs w:val="24"/>
        </w:rPr>
        <w:t>p</w:t>
      </w:r>
      <w:r w:rsidR="00EB3185" w:rsidRPr="00354B78">
        <w:rPr>
          <w:b/>
          <w:szCs w:val="24"/>
        </w:rPr>
        <w:t xml:space="preserve">lanning </w:t>
      </w:r>
      <w:r w:rsidR="001D40AA" w:rsidRPr="00354B78">
        <w:rPr>
          <w:b/>
          <w:szCs w:val="24"/>
        </w:rPr>
        <w:t>p</w:t>
      </w:r>
      <w:r w:rsidR="00EB3185" w:rsidRPr="00354B78">
        <w:rPr>
          <w:b/>
          <w:szCs w:val="24"/>
        </w:rPr>
        <w:t>olicies</w:t>
      </w:r>
    </w:p>
    <w:p w14:paraId="063E7C72" w14:textId="5DF9D24C" w:rsidR="008642B3" w:rsidRPr="008642B3" w:rsidRDefault="00F70EBE" w:rsidP="00354B78">
      <w:pPr>
        <w:spacing w:after="120"/>
        <w:ind w:right="-35"/>
        <w:rPr>
          <w:rFonts w:cs="Arial"/>
          <w:szCs w:val="24"/>
        </w:rPr>
      </w:pPr>
      <w:r>
        <w:rPr>
          <w:rFonts w:cs="Arial"/>
          <w:szCs w:val="24"/>
        </w:rPr>
        <w:t xml:space="preserve">The </w:t>
      </w:r>
      <w:r w:rsidR="00B17C69">
        <w:rPr>
          <w:rFonts w:cs="Arial"/>
          <w:szCs w:val="24"/>
        </w:rPr>
        <w:t>Planning P</w:t>
      </w:r>
      <w:r>
        <w:rPr>
          <w:rFonts w:cs="Arial"/>
          <w:szCs w:val="24"/>
        </w:rPr>
        <w:t>roposal is generally consistent with or will not affect the application of any SEPPs.</w:t>
      </w:r>
    </w:p>
    <w:p w14:paraId="662084FB" w14:textId="77777777" w:rsidR="000E5326" w:rsidRPr="00354B78" w:rsidRDefault="003B7BB3" w:rsidP="00354B78">
      <w:pPr>
        <w:spacing w:before="120"/>
        <w:ind w:right="-35"/>
        <w:rPr>
          <w:rFonts w:cs="Arial"/>
          <w:b/>
          <w:szCs w:val="24"/>
        </w:rPr>
      </w:pPr>
      <w:r>
        <w:rPr>
          <w:rFonts w:cs="Arial"/>
          <w:b/>
          <w:szCs w:val="24"/>
        </w:rPr>
        <w:t xml:space="preserve">9.3 </w:t>
      </w:r>
      <w:r w:rsidR="001D40AA" w:rsidRPr="00354B78">
        <w:rPr>
          <w:rFonts w:cs="Arial"/>
          <w:b/>
          <w:szCs w:val="24"/>
        </w:rPr>
        <w:t>State, r</w:t>
      </w:r>
      <w:r w:rsidR="000E5326" w:rsidRPr="00354B78">
        <w:rPr>
          <w:rFonts w:cs="Arial"/>
          <w:b/>
          <w:szCs w:val="24"/>
        </w:rPr>
        <w:t xml:space="preserve">egional and </w:t>
      </w:r>
      <w:r w:rsidR="001D40AA" w:rsidRPr="00354B78">
        <w:rPr>
          <w:rFonts w:cs="Arial"/>
          <w:b/>
          <w:szCs w:val="24"/>
        </w:rPr>
        <w:t>d</w:t>
      </w:r>
      <w:r w:rsidR="000E5326" w:rsidRPr="00354B78">
        <w:rPr>
          <w:rFonts w:cs="Arial"/>
          <w:b/>
          <w:szCs w:val="24"/>
        </w:rPr>
        <w:t>istrict plans</w:t>
      </w:r>
    </w:p>
    <w:p w14:paraId="6C5018BC" w14:textId="780C8030" w:rsidR="006D24E2" w:rsidRDefault="00DF620A" w:rsidP="00090470">
      <w:pPr>
        <w:tabs>
          <w:tab w:val="left" w:pos="2520"/>
        </w:tabs>
        <w:spacing w:after="120"/>
        <w:rPr>
          <w:rFonts w:cs="Arial"/>
          <w:bCs/>
          <w:szCs w:val="24"/>
        </w:rPr>
      </w:pPr>
      <w:r>
        <w:rPr>
          <w:rFonts w:cs="Arial"/>
          <w:bCs/>
          <w:szCs w:val="24"/>
        </w:rPr>
        <w:t xml:space="preserve">Hornsby </w:t>
      </w:r>
      <w:r w:rsidR="007F3D9C">
        <w:rPr>
          <w:rFonts w:cs="Arial"/>
          <w:bCs/>
          <w:szCs w:val="24"/>
        </w:rPr>
        <w:t xml:space="preserve">is classified as a strategic centre under the North District Plan. As detailed in the table below, the </w:t>
      </w:r>
      <w:r w:rsidR="00FC495E">
        <w:rPr>
          <w:rFonts w:cs="Arial"/>
          <w:bCs/>
          <w:szCs w:val="24"/>
        </w:rPr>
        <w:t>Planning P</w:t>
      </w:r>
      <w:r w:rsidR="007F3D9C">
        <w:rPr>
          <w:rFonts w:cs="Arial"/>
          <w:bCs/>
          <w:szCs w:val="24"/>
        </w:rPr>
        <w:t>roposal is consistent with the relevant planning priorities of the District Plan</w:t>
      </w:r>
      <w:r w:rsidR="001F3793">
        <w:rPr>
          <w:rFonts w:cs="Arial"/>
          <w:bCs/>
          <w:szCs w:val="24"/>
        </w:rPr>
        <w:t>.</w:t>
      </w:r>
    </w:p>
    <w:tbl>
      <w:tblPr>
        <w:tblStyle w:val="TableGrid"/>
        <w:tblW w:w="0" w:type="auto"/>
        <w:tblLook w:val="04A0" w:firstRow="1" w:lastRow="0" w:firstColumn="1" w:lastColumn="0" w:noHBand="0" w:noVBand="1"/>
      </w:tblPr>
      <w:tblGrid>
        <w:gridCol w:w="2972"/>
        <w:gridCol w:w="6764"/>
      </w:tblGrid>
      <w:tr w:rsidR="001F3793" w:rsidRPr="00005DD8" w14:paraId="0CA2B3F5" w14:textId="77777777" w:rsidTr="00AF0BD6">
        <w:tc>
          <w:tcPr>
            <w:tcW w:w="2972" w:type="dxa"/>
            <w:shd w:val="clear" w:color="auto" w:fill="A6A6A6" w:themeFill="background1" w:themeFillShade="A6"/>
          </w:tcPr>
          <w:p w14:paraId="240C6C61" w14:textId="43EFF4C7" w:rsidR="001F3793" w:rsidRPr="00005DD8" w:rsidRDefault="001F3793" w:rsidP="00A77B9F">
            <w:pPr>
              <w:spacing w:after="120"/>
              <w:ind w:right="-35"/>
              <w:rPr>
                <w:b/>
                <w:bCs/>
                <w:szCs w:val="24"/>
              </w:rPr>
            </w:pPr>
            <w:r>
              <w:rPr>
                <w:b/>
                <w:bCs/>
                <w:szCs w:val="24"/>
              </w:rPr>
              <w:t>Planning Priority</w:t>
            </w:r>
          </w:p>
        </w:tc>
        <w:tc>
          <w:tcPr>
            <w:tcW w:w="6764" w:type="dxa"/>
            <w:shd w:val="clear" w:color="auto" w:fill="A6A6A6" w:themeFill="background1" w:themeFillShade="A6"/>
          </w:tcPr>
          <w:p w14:paraId="0BA679FE" w14:textId="77777777" w:rsidR="001F3793" w:rsidRPr="00005DD8" w:rsidRDefault="001F3793" w:rsidP="00A77B9F">
            <w:pPr>
              <w:spacing w:after="120"/>
              <w:ind w:right="-35"/>
              <w:rPr>
                <w:b/>
                <w:bCs/>
                <w:szCs w:val="24"/>
              </w:rPr>
            </w:pPr>
            <w:r w:rsidRPr="00005DD8">
              <w:rPr>
                <w:b/>
                <w:bCs/>
                <w:szCs w:val="24"/>
              </w:rPr>
              <w:t>Response</w:t>
            </w:r>
          </w:p>
        </w:tc>
      </w:tr>
      <w:tr w:rsidR="001F3793" w14:paraId="28DCCA60" w14:textId="77777777" w:rsidTr="00AF0BD6">
        <w:tc>
          <w:tcPr>
            <w:tcW w:w="2972" w:type="dxa"/>
          </w:tcPr>
          <w:p w14:paraId="58DE77B3" w14:textId="45FE886C" w:rsidR="001F3793" w:rsidRPr="00AF0BD6" w:rsidRDefault="00F65D3C" w:rsidP="00A77B9F">
            <w:pPr>
              <w:spacing w:after="120"/>
              <w:ind w:right="-35"/>
              <w:rPr>
                <w:b/>
                <w:bCs/>
                <w:szCs w:val="24"/>
              </w:rPr>
            </w:pPr>
            <w:r w:rsidRPr="00AF0BD6">
              <w:rPr>
                <w:b/>
                <w:bCs/>
                <w:szCs w:val="24"/>
              </w:rPr>
              <w:t xml:space="preserve">N6: </w:t>
            </w:r>
            <w:r w:rsidR="00AF0BD6" w:rsidRPr="00AF0BD6">
              <w:rPr>
                <w:b/>
                <w:bCs/>
                <w:szCs w:val="24"/>
              </w:rPr>
              <w:t>Creating and renewing great places and local centres and respecting the District’s heritage</w:t>
            </w:r>
          </w:p>
        </w:tc>
        <w:tc>
          <w:tcPr>
            <w:tcW w:w="6764" w:type="dxa"/>
          </w:tcPr>
          <w:p w14:paraId="69A2E29F" w14:textId="6E90010C" w:rsidR="001F3793" w:rsidRDefault="00957BD3" w:rsidP="00A77B9F">
            <w:pPr>
              <w:spacing w:after="120"/>
              <w:ind w:right="-35"/>
              <w:rPr>
                <w:szCs w:val="24"/>
              </w:rPr>
            </w:pPr>
            <w:r>
              <w:rPr>
                <w:szCs w:val="24"/>
              </w:rPr>
              <w:t>Th</w:t>
            </w:r>
            <w:r w:rsidR="00CA53EF">
              <w:rPr>
                <w:szCs w:val="24"/>
              </w:rPr>
              <w:t xml:space="preserve">is </w:t>
            </w:r>
            <w:r>
              <w:rPr>
                <w:szCs w:val="24"/>
              </w:rPr>
              <w:t xml:space="preserve">proposal </w:t>
            </w:r>
            <w:r w:rsidR="00EA4727">
              <w:rPr>
                <w:szCs w:val="24"/>
              </w:rPr>
              <w:t xml:space="preserve">implements this planning priority </w:t>
            </w:r>
            <w:r w:rsidR="00BE1BDE">
              <w:rPr>
                <w:szCs w:val="24"/>
              </w:rPr>
              <w:t xml:space="preserve">as it </w:t>
            </w:r>
            <w:r w:rsidR="00D65C67">
              <w:rPr>
                <w:szCs w:val="24"/>
              </w:rPr>
              <w:t>will assist in delivering minor updates to Schedule 5 – Heritage Conservation</w:t>
            </w:r>
            <w:r w:rsidR="00044472">
              <w:rPr>
                <w:szCs w:val="24"/>
              </w:rPr>
              <w:t xml:space="preserve">. It will also contribute to </w:t>
            </w:r>
            <w:r w:rsidR="003765E2">
              <w:rPr>
                <w:szCs w:val="24"/>
              </w:rPr>
              <w:t>good design</w:t>
            </w:r>
            <w:r w:rsidR="00A53E9C">
              <w:rPr>
                <w:szCs w:val="24"/>
              </w:rPr>
              <w:t xml:space="preserve"> </w:t>
            </w:r>
            <w:r w:rsidR="00E236DB">
              <w:rPr>
                <w:szCs w:val="24"/>
              </w:rPr>
              <w:t>in neighbourhoods that are connected to transport and services and support</w:t>
            </w:r>
            <w:r w:rsidR="00161F25">
              <w:rPr>
                <w:szCs w:val="24"/>
              </w:rPr>
              <w:t xml:space="preserve"> active healthy and </w:t>
            </w:r>
            <w:r w:rsidR="00897923">
              <w:rPr>
                <w:szCs w:val="24"/>
              </w:rPr>
              <w:t>socially connected</w:t>
            </w:r>
            <w:r w:rsidR="00161F25">
              <w:rPr>
                <w:szCs w:val="24"/>
              </w:rPr>
              <w:t xml:space="preserve"> communities</w:t>
            </w:r>
            <w:r w:rsidR="0024137B">
              <w:rPr>
                <w:szCs w:val="24"/>
              </w:rPr>
              <w:t xml:space="preserve">, as well as </w:t>
            </w:r>
            <w:r w:rsidR="00603001">
              <w:rPr>
                <w:szCs w:val="24"/>
              </w:rPr>
              <w:t>maintaining and renewing the local character of the area.</w:t>
            </w:r>
          </w:p>
        </w:tc>
      </w:tr>
    </w:tbl>
    <w:p w14:paraId="41D4114C" w14:textId="77777777" w:rsidR="001F3793" w:rsidRPr="00DF620A" w:rsidRDefault="001F3793" w:rsidP="00090470">
      <w:pPr>
        <w:tabs>
          <w:tab w:val="left" w:pos="2520"/>
        </w:tabs>
        <w:spacing w:after="120"/>
        <w:rPr>
          <w:rFonts w:cs="Arial"/>
          <w:bCs/>
          <w:szCs w:val="24"/>
        </w:rPr>
      </w:pPr>
    </w:p>
    <w:p w14:paraId="2BABC171" w14:textId="77777777" w:rsidR="00750B90" w:rsidRPr="000D6C66" w:rsidRDefault="00750B90" w:rsidP="008E41F5">
      <w:pPr>
        <w:numPr>
          <w:ilvl w:val="0"/>
          <w:numId w:val="34"/>
        </w:numPr>
        <w:tabs>
          <w:tab w:val="left" w:pos="284"/>
        </w:tabs>
        <w:spacing w:before="240"/>
        <w:ind w:left="357" w:right="-35" w:hanging="357"/>
        <w:rPr>
          <w:b/>
          <w:szCs w:val="24"/>
        </w:rPr>
      </w:pPr>
      <w:r w:rsidRPr="000D6C66">
        <w:rPr>
          <w:b/>
          <w:szCs w:val="24"/>
        </w:rPr>
        <w:t>MAPPING</w:t>
      </w:r>
    </w:p>
    <w:p w14:paraId="0234ABD4" w14:textId="5723A638" w:rsidR="009770DB" w:rsidRDefault="009770DB" w:rsidP="00A85EC6">
      <w:pPr>
        <w:spacing w:after="120"/>
        <w:ind w:right="-35"/>
        <w:rPr>
          <w:szCs w:val="24"/>
        </w:rPr>
      </w:pPr>
      <w:r>
        <w:rPr>
          <w:szCs w:val="24"/>
        </w:rPr>
        <w:t>The following maps are associated with the LEP amendment:</w:t>
      </w:r>
    </w:p>
    <w:p w14:paraId="0DAC9B2C" w14:textId="52713EE5" w:rsidR="009770DB" w:rsidRPr="009F61EE" w:rsidRDefault="005F231F" w:rsidP="009770DB">
      <w:pPr>
        <w:pStyle w:val="ListParagraph"/>
        <w:numPr>
          <w:ilvl w:val="0"/>
          <w:numId w:val="37"/>
        </w:numPr>
        <w:spacing w:after="120"/>
        <w:ind w:right="-35"/>
        <w:rPr>
          <w:rFonts w:ascii="Arial" w:hAnsi="Arial" w:cs="Arial"/>
          <w:sz w:val="24"/>
          <w:szCs w:val="28"/>
        </w:rPr>
      </w:pPr>
      <w:r w:rsidRPr="009F61EE">
        <w:rPr>
          <w:rFonts w:ascii="Arial" w:hAnsi="Arial" w:cs="Arial"/>
          <w:sz w:val="24"/>
          <w:szCs w:val="28"/>
        </w:rPr>
        <w:t>Heritage Map</w:t>
      </w:r>
      <w:r w:rsidR="001828F0" w:rsidRPr="009F61EE">
        <w:rPr>
          <w:rFonts w:ascii="Arial" w:hAnsi="Arial" w:cs="Arial"/>
          <w:sz w:val="24"/>
          <w:szCs w:val="28"/>
        </w:rPr>
        <w:t xml:space="preserve"> – </w:t>
      </w:r>
      <w:r w:rsidR="00454539" w:rsidRPr="009F61EE">
        <w:rPr>
          <w:rFonts w:ascii="Arial" w:hAnsi="Arial" w:cs="Arial"/>
          <w:sz w:val="24"/>
          <w:szCs w:val="28"/>
        </w:rPr>
        <w:t>HER_010B</w:t>
      </w:r>
      <w:r w:rsidR="00044D5C">
        <w:rPr>
          <w:rFonts w:ascii="Arial" w:hAnsi="Arial" w:cs="Arial"/>
          <w:sz w:val="24"/>
          <w:szCs w:val="28"/>
        </w:rPr>
        <w:t>, HER_017, HER_022 and HER_025A</w:t>
      </w:r>
    </w:p>
    <w:p w14:paraId="198A6E42" w14:textId="3BD4F6BA" w:rsidR="0069515B" w:rsidRPr="009F61EE" w:rsidRDefault="0069515B" w:rsidP="009770DB">
      <w:pPr>
        <w:pStyle w:val="ListParagraph"/>
        <w:numPr>
          <w:ilvl w:val="0"/>
          <w:numId w:val="37"/>
        </w:numPr>
        <w:spacing w:after="120"/>
        <w:ind w:right="-35"/>
        <w:rPr>
          <w:rFonts w:ascii="Arial" w:hAnsi="Arial" w:cs="Arial"/>
          <w:sz w:val="24"/>
          <w:szCs w:val="28"/>
        </w:rPr>
      </w:pPr>
      <w:r w:rsidRPr="009F61EE">
        <w:rPr>
          <w:rFonts w:ascii="Arial" w:hAnsi="Arial" w:cs="Arial"/>
          <w:sz w:val="24"/>
          <w:szCs w:val="28"/>
        </w:rPr>
        <w:t>Land Zoning Map –</w:t>
      </w:r>
      <w:r w:rsidR="00FD26C0">
        <w:rPr>
          <w:rFonts w:ascii="Arial" w:hAnsi="Arial" w:cs="Arial"/>
          <w:sz w:val="24"/>
          <w:szCs w:val="28"/>
        </w:rPr>
        <w:t xml:space="preserve"> </w:t>
      </w:r>
      <w:r w:rsidRPr="009F61EE">
        <w:rPr>
          <w:rFonts w:ascii="Arial" w:hAnsi="Arial" w:cs="Arial"/>
          <w:sz w:val="24"/>
          <w:szCs w:val="28"/>
        </w:rPr>
        <w:t>LZN_008</w:t>
      </w:r>
      <w:r w:rsidR="00FD26C0">
        <w:rPr>
          <w:rFonts w:ascii="Arial" w:hAnsi="Arial" w:cs="Arial"/>
          <w:sz w:val="24"/>
          <w:szCs w:val="28"/>
        </w:rPr>
        <w:t xml:space="preserve">, </w:t>
      </w:r>
      <w:r w:rsidR="00FD26C0" w:rsidRPr="009F61EE">
        <w:rPr>
          <w:rFonts w:ascii="Arial" w:hAnsi="Arial" w:cs="Arial"/>
          <w:sz w:val="24"/>
          <w:szCs w:val="28"/>
        </w:rPr>
        <w:t xml:space="preserve">LZN_016, </w:t>
      </w:r>
      <w:r w:rsidRPr="009F61EE">
        <w:rPr>
          <w:rFonts w:ascii="Arial" w:hAnsi="Arial" w:cs="Arial"/>
          <w:sz w:val="24"/>
          <w:szCs w:val="28"/>
        </w:rPr>
        <w:t>and LZN_021</w:t>
      </w:r>
    </w:p>
    <w:p w14:paraId="4E5A4E84" w14:textId="2E526B1E" w:rsidR="00C85D61" w:rsidRDefault="00C85D61" w:rsidP="009770DB">
      <w:pPr>
        <w:pStyle w:val="ListParagraph"/>
        <w:numPr>
          <w:ilvl w:val="0"/>
          <w:numId w:val="37"/>
        </w:numPr>
        <w:spacing w:after="120"/>
        <w:ind w:right="-35"/>
        <w:rPr>
          <w:rFonts w:ascii="Arial" w:hAnsi="Arial" w:cs="Arial"/>
          <w:sz w:val="24"/>
          <w:szCs w:val="28"/>
        </w:rPr>
      </w:pPr>
      <w:r w:rsidRPr="009F61EE">
        <w:rPr>
          <w:rFonts w:ascii="Arial" w:hAnsi="Arial" w:cs="Arial"/>
          <w:sz w:val="24"/>
          <w:szCs w:val="28"/>
        </w:rPr>
        <w:t>Additional Permitted Uses Map – APU_008</w:t>
      </w:r>
    </w:p>
    <w:p w14:paraId="2AE42B3A" w14:textId="5D86B1EE" w:rsidR="00603CE4" w:rsidRDefault="00603CE4" w:rsidP="009770DB">
      <w:pPr>
        <w:pStyle w:val="ListParagraph"/>
        <w:numPr>
          <w:ilvl w:val="0"/>
          <w:numId w:val="37"/>
        </w:numPr>
        <w:spacing w:after="120"/>
        <w:ind w:right="-35"/>
        <w:rPr>
          <w:rFonts w:ascii="Arial" w:hAnsi="Arial" w:cs="Arial"/>
          <w:sz w:val="24"/>
          <w:szCs w:val="28"/>
        </w:rPr>
      </w:pPr>
      <w:r>
        <w:rPr>
          <w:rFonts w:ascii="Arial" w:hAnsi="Arial" w:cs="Arial"/>
          <w:sz w:val="24"/>
          <w:szCs w:val="28"/>
        </w:rPr>
        <w:t>Floor Space Ratio Map</w:t>
      </w:r>
      <w:r w:rsidR="000C10A0">
        <w:rPr>
          <w:rFonts w:ascii="Arial" w:hAnsi="Arial" w:cs="Arial"/>
          <w:sz w:val="24"/>
          <w:szCs w:val="28"/>
        </w:rPr>
        <w:t xml:space="preserve"> – FSR_008, FSR_016</w:t>
      </w:r>
      <w:r w:rsidR="00044D5C">
        <w:rPr>
          <w:rFonts w:ascii="Arial" w:hAnsi="Arial" w:cs="Arial"/>
          <w:sz w:val="24"/>
          <w:szCs w:val="28"/>
        </w:rPr>
        <w:t xml:space="preserve"> and FSR_021</w:t>
      </w:r>
    </w:p>
    <w:p w14:paraId="1364D007" w14:textId="2F857758" w:rsidR="00044D5C" w:rsidRDefault="00044D5C" w:rsidP="009770DB">
      <w:pPr>
        <w:pStyle w:val="ListParagraph"/>
        <w:numPr>
          <w:ilvl w:val="0"/>
          <w:numId w:val="37"/>
        </w:numPr>
        <w:spacing w:after="120"/>
        <w:ind w:right="-35"/>
        <w:rPr>
          <w:rFonts w:ascii="Arial" w:hAnsi="Arial" w:cs="Arial"/>
          <w:sz w:val="24"/>
          <w:szCs w:val="28"/>
        </w:rPr>
      </w:pPr>
      <w:r>
        <w:rPr>
          <w:rFonts w:ascii="Arial" w:hAnsi="Arial" w:cs="Arial"/>
          <w:sz w:val="24"/>
          <w:szCs w:val="28"/>
        </w:rPr>
        <w:t>Height of Buildings Map – HOB_008, HOB_</w:t>
      </w:r>
      <w:r w:rsidR="00FD26C0">
        <w:rPr>
          <w:rFonts w:ascii="Arial" w:hAnsi="Arial" w:cs="Arial"/>
          <w:sz w:val="24"/>
          <w:szCs w:val="28"/>
        </w:rPr>
        <w:t>010, HOB_017, HOB_018 and HOB_021</w:t>
      </w:r>
    </w:p>
    <w:p w14:paraId="2E403513" w14:textId="41DCC70B" w:rsidR="002E7611" w:rsidRDefault="002E7611" w:rsidP="009770DB">
      <w:pPr>
        <w:pStyle w:val="ListParagraph"/>
        <w:numPr>
          <w:ilvl w:val="0"/>
          <w:numId w:val="37"/>
        </w:numPr>
        <w:spacing w:after="120"/>
        <w:ind w:right="-35"/>
        <w:rPr>
          <w:rFonts w:ascii="Arial" w:hAnsi="Arial" w:cs="Arial"/>
          <w:sz w:val="24"/>
          <w:szCs w:val="28"/>
        </w:rPr>
      </w:pPr>
      <w:r>
        <w:rPr>
          <w:rFonts w:ascii="Arial" w:hAnsi="Arial" w:cs="Arial"/>
          <w:sz w:val="24"/>
          <w:szCs w:val="28"/>
        </w:rPr>
        <w:t>Lot Size Map – LSZ_008, LSZ_016 and LSZ_021</w:t>
      </w:r>
    </w:p>
    <w:p w14:paraId="4DCCB6AE" w14:textId="7BC94143" w:rsidR="00610141" w:rsidRPr="00610141" w:rsidRDefault="00BC49B9" w:rsidP="00610141">
      <w:pPr>
        <w:spacing w:after="120"/>
        <w:ind w:right="-35"/>
        <w:rPr>
          <w:rFonts w:cs="Arial"/>
          <w:szCs w:val="28"/>
        </w:rPr>
      </w:pPr>
      <w:r>
        <w:rPr>
          <w:rFonts w:cs="Arial"/>
          <w:szCs w:val="28"/>
        </w:rPr>
        <w:t xml:space="preserve">The maps </w:t>
      </w:r>
      <w:r w:rsidRPr="0007048D">
        <w:rPr>
          <w:rFonts w:cs="Arial"/>
          <w:b/>
          <w:bCs/>
          <w:szCs w:val="28"/>
        </w:rPr>
        <w:t xml:space="preserve">(Attachment </w:t>
      </w:r>
      <w:r w:rsidR="000B5E95">
        <w:rPr>
          <w:rFonts w:cs="Arial"/>
          <w:b/>
          <w:bCs/>
          <w:szCs w:val="28"/>
        </w:rPr>
        <w:t xml:space="preserve">LEP </w:t>
      </w:r>
      <w:r w:rsidRPr="0007048D">
        <w:rPr>
          <w:rFonts w:cs="Arial"/>
          <w:b/>
          <w:bCs/>
          <w:szCs w:val="28"/>
        </w:rPr>
        <w:t xml:space="preserve">Maps) </w:t>
      </w:r>
      <w:r>
        <w:rPr>
          <w:rFonts w:cs="Arial"/>
          <w:szCs w:val="28"/>
        </w:rPr>
        <w:t xml:space="preserve">and Map Cover Sheet </w:t>
      </w:r>
      <w:r w:rsidRPr="0007048D">
        <w:rPr>
          <w:rFonts w:cs="Arial"/>
          <w:b/>
          <w:bCs/>
          <w:szCs w:val="28"/>
        </w:rPr>
        <w:t>(Attachment MCS)</w:t>
      </w:r>
      <w:r>
        <w:rPr>
          <w:rFonts w:cs="Arial"/>
          <w:szCs w:val="28"/>
        </w:rPr>
        <w:t xml:space="preserve"> have been checked by the Department’s </w:t>
      </w:r>
      <w:proofErr w:type="spellStart"/>
      <w:r>
        <w:rPr>
          <w:rFonts w:cs="Arial"/>
          <w:szCs w:val="28"/>
        </w:rPr>
        <w:t>ePlanning</w:t>
      </w:r>
      <w:proofErr w:type="spellEnd"/>
      <w:r>
        <w:rPr>
          <w:rFonts w:cs="Arial"/>
          <w:szCs w:val="28"/>
        </w:rPr>
        <w:t xml:space="preserve"> Team </w:t>
      </w:r>
      <w:r w:rsidR="00C965CF">
        <w:rPr>
          <w:rFonts w:cs="Arial"/>
          <w:szCs w:val="28"/>
        </w:rPr>
        <w:t>and are finalised</w:t>
      </w:r>
      <w:r>
        <w:rPr>
          <w:rFonts w:cs="Arial"/>
          <w:szCs w:val="28"/>
        </w:rPr>
        <w:t xml:space="preserve">. </w:t>
      </w:r>
    </w:p>
    <w:p w14:paraId="74DD6675" w14:textId="77777777" w:rsidR="000D6C66" w:rsidRPr="000D6C66" w:rsidRDefault="000D6C66" w:rsidP="008E41F5">
      <w:pPr>
        <w:numPr>
          <w:ilvl w:val="0"/>
          <w:numId w:val="34"/>
        </w:numPr>
        <w:tabs>
          <w:tab w:val="left" w:pos="284"/>
        </w:tabs>
        <w:spacing w:before="240"/>
        <w:ind w:left="357" w:right="-35" w:hanging="357"/>
        <w:rPr>
          <w:rFonts w:cs="Arial"/>
          <w:b/>
          <w:szCs w:val="24"/>
        </w:rPr>
      </w:pPr>
      <w:r w:rsidRPr="00C518C1">
        <w:rPr>
          <w:b/>
          <w:szCs w:val="24"/>
        </w:rPr>
        <w:t>CONSULTATION</w:t>
      </w:r>
      <w:r w:rsidRPr="000D6C66">
        <w:rPr>
          <w:rFonts w:cs="Arial"/>
          <w:b/>
          <w:szCs w:val="24"/>
        </w:rPr>
        <w:t xml:space="preserve"> WITH </w:t>
      </w:r>
      <w:r w:rsidR="00B51F03">
        <w:rPr>
          <w:rFonts w:cs="Arial"/>
          <w:b/>
          <w:szCs w:val="24"/>
        </w:rPr>
        <w:t>COUNCIL</w:t>
      </w:r>
    </w:p>
    <w:p w14:paraId="6CB08C10" w14:textId="15D6D31A" w:rsidR="000D6C66" w:rsidRPr="002412E3" w:rsidRDefault="00B51F03" w:rsidP="00A85EC6">
      <w:pPr>
        <w:tabs>
          <w:tab w:val="left" w:pos="1800"/>
          <w:tab w:val="right" w:pos="9000"/>
        </w:tabs>
        <w:spacing w:after="120"/>
        <w:ind w:right="-35"/>
        <w:rPr>
          <w:rFonts w:cs="Arial"/>
          <w:color w:val="000000" w:themeColor="text1"/>
          <w:szCs w:val="24"/>
        </w:rPr>
      </w:pPr>
      <w:r>
        <w:rPr>
          <w:rFonts w:cs="Arial"/>
          <w:szCs w:val="24"/>
        </w:rPr>
        <w:t>Council</w:t>
      </w:r>
      <w:r w:rsidR="000D6C66" w:rsidRPr="000D6C66">
        <w:rPr>
          <w:rFonts w:cs="Arial"/>
          <w:szCs w:val="24"/>
        </w:rPr>
        <w:t xml:space="preserve"> was consulted on the terms of the draft instrument </w:t>
      </w:r>
      <w:r w:rsidR="000E5326">
        <w:rPr>
          <w:rFonts w:cs="Arial"/>
          <w:szCs w:val="24"/>
        </w:rPr>
        <w:t xml:space="preserve">under </w:t>
      </w:r>
      <w:r w:rsidR="006E302B">
        <w:rPr>
          <w:rFonts w:cs="Arial"/>
          <w:szCs w:val="24"/>
        </w:rPr>
        <w:t>clause</w:t>
      </w:r>
      <w:r w:rsidR="000E5326">
        <w:rPr>
          <w:rFonts w:cs="Arial"/>
          <w:szCs w:val="24"/>
        </w:rPr>
        <w:t xml:space="preserve"> 3.36(1) of the</w:t>
      </w:r>
      <w:r w:rsidR="00E8089A">
        <w:rPr>
          <w:rFonts w:cs="Arial"/>
          <w:szCs w:val="24"/>
        </w:rPr>
        <w:t xml:space="preserve"> </w:t>
      </w:r>
      <w:r w:rsidR="00E8089A">
        <w:rPr>
          <w:rFonts w:cs="Arial"/>
          <w:i/>
          <w:szCs w:val="24"/>
        </w:rPr>
        <w:t xml:space="preserve">Environmental Planning and Assessment </w:t>
      </w:r>
      <w:r w:rsidR="000E5326" w:rsidRPr="00E8089A">
        <w:rPr>
          <w:rFonts w:cs="Arial"/>
          <w:i/>
          <w:szCs w:val="24"/>
        </w:rPr>
        <w:t>Act</w:t>
      </w:r>
      <w:r w:rsidR="00E8089A">
        <w:rPr>
          <w:rFonts w:cs="Arial"/>
          <w:i/>
          <w:szCs w:val="24"/>
        </w:rPr>
        <w:t xml:space="preserve"> 1979</w:t>
      </w:r>
      <w:r w:rsidR="000D6C66" w:rsidRPr="00537037">
        <w:rPr>
          <w:rFonts w:cs="Arial"/>
          <w:color w:val="FF0000"/>
          <w:szCs w:val="24"/>
        </w:rPr>
        <w:t>.</w:t>
      </w:r>
      <w:r w:rsidR="000D6C66" w:rsidRPr="000D6C66">
        <w:rPr>
          <w:rFonts w:cs="Arial"/>
          <w:szCs w:val="24"/>
        </w:rPr>
        <w:t xml:space="preserve"> </w:t>
      </w:r>
      <w:r>
        <w:rPr>
          <w:rFonts w:cs="Arial"/>
          <w:szCs w:val="24"/>
        </w:rPr>
        <w:t>Council</w:t>
      </w:r>
      <w:r w:rsidR="00DF3018">
        <w:rPr>
          <w:rFonts w:cs="Arial"/>
          <w:szCs w:val="24"/>
        </w:rPr>
        <w:t xml:space="preserve"> </w:t>
      </w:r>
      <w:r w:rsidR="00DF3018" w:rsidRPr="002412E3">
        <w:rPr>
          <w:rFonts w:cs="Arial"/>
          <w:color w:val="000000" w:themeColor="text1"/>
          <w:szCs w:val="24"/>
        </w:rPr>
        <w:t xml:space="preserve">confirmed on </w:t>
      </w:r>
      <w:r w:rsidR="00C965CF">
        <w:rPr>
          <w:rFonts w:cs="Arial"/>
          <w:color w:val="000000" w:themeColor="text1"/>
          <w:szCs w:val="24"/>
        </w:rPr>
        <w:t>28</w:t>
      </w:r>
      <w:r w:rsidR="00AB51E4" w:rsidRPr="002412E3">
        <w:rPr>
          <w:rFonts w:cs="Arial"/>
          <w:color w:val="000000" w:themeColor="text1"/>
          <w:szCs w:val="24"/>
        </w:rPr>
        <w:t xml:space="preserve"> October 2020 </w:t>
      </w:r>
      <w:r w:rsidR="00DF3018" w:rsidRPr="002412E3">
        <w:rPr>
          <w:rFonts w:cs="Arial"/>
          <w:color w:val="000000" w:themeColor="text1"/>
          <w:szCs w:val="24"/>
        </w:rPr>
        <w:t xml:space="preserve">that it </w:t>
      </w:r>
      <w:r w:rsidR="00BC49B9" w:rsidRPr="002412E3">
        <w:rPr>
          <w:rFonts w:cs="Arial"/>
          <w:color w:val="000000" w:themeColor="text1"/>
          <w:szCs w:val="24"/>
        </w:rPr>
        <w:t>supports</w:t>
      </w:r>
      <w:r w:rsidR="00DF3018" w:rsidRPr="002412E3">
        <w:rPr>
          <w:rFonts w:cs="Arial"/>
          <w:color w:val="000000" w:themeColor="text1"/>
          <w:szCs w:val="24"/>
        </w:rPr>
        <w:t xml:space="preserve"> the draft and that the </w:t>
      </w:r>
      <w:r w:rsidR="00E8089A" w:rsidRPr="002412E3">
        <w:rPr>
          <w:rFonts w:cs="Arial"/>
          <w:color w:val="000000" w:themeColor="text1"/>
          <w:szCs w:val="24"/>
        </w:rPr>
        <w:t>p</w:t>
      </w:r>
      <w:r w:rsidR="00DF3018" w:rsidRPr="002412E3">
        <w:rPr>
          <w:rFonts w:cs="Arial"/>
          <w:color w:val="000000" w:themeColor="text1"/>
          <w:szCs w:val="24"/>
        </w:rPr>
        <w:t xml:space="preserve">lan should be made </w:t>
      </w:r>
      <w:r w:rsidR="00BC49B9" w:rsidRPr="002412E3">
        <w:rPr>
          <w:rFonts w:cs="Arial"/>
          <w:b/>
          <w:bCs/>
          <w:color w:val="000000" w:themeColor="text1"/>
          <w:szCs w:val="24"/>
        </w:rPr>
        <w:t xml:space="preserve">(Attachment </w:t>
      </w:r>
      <w:r w:rsidR="00AB51E4" w:rsidRPr="002412E3">
        <w:rPr>
          <w:rFonts w:cs="Arial"/>
          <w:b/>
          <w:bCs/>
          <w:color w:val="000000" w:themeColor="text1"/>
          <w:szCs w:val="24"/>
        </w:rPr>
        <w:t>D</w:t>
      </w:r>
      <w:r w:rsidR="00BC49B9" w:rsidRPr="002412E3">
        <w:rPr>
          <w:rFonts w:cs="Arial"/>
          <w:b/>
          <w:bCs/>
          <w:color w:val="000000" w:themeColor="text1"/>
          <w:szCs w:val="24"/>
        </w:rPr>
        <w:t>)</w:t>
      </w:r>
    </w:p>
    <w:p w14:paraId="4BFA41DD" w14:textId="77777777" w:rsidR="000D6C66" w:rsidRPr="002412E3" w:rsidRDefault="000D6C66" w:rsidP="008E41F5">
      <w:pPr>
        <w:numPr>
          <w:ilvl w:val="0"/>
          <w:numId w:val="34"/>
        </w:numPr>
        <w:tabs>
          <w:tab w:val="left" w:pos="284"/>
        </w:tabs>
        <w:spacing w:before="240"/>
        <w:ind w:left="357" w:right="-35" w:hanging="357"/>
        <w:rPr>
          <w:rFonts w:cs="Arial"/>
          <w:b/>
          <w:bCs/>
          <w:caps/>
          <w:color w:val="000000" w:themeColor="text1"/>
          <w:kern w:val="32"/>
          <w:szCs w:val="24"/>
        </w:rPr>
      </w:pPr>
      <w:r w:rsidRPr="002412E3">
        <w:rPr>
          <w:b/>
          <w:bCs/>
          <w:caps/>
          <w:color w:val="000000" w:themeColor="text1"/>
          <w:kern w:val="32"/>
          <w:szCs w:val="24"/>
        </w:rPr>
        <w:t>Parliamentary</w:t>
      </w:r>
      <w:r w:rsidRPr="002412E3">
        <w:rPr>
          <w:rFonts w:cs="Arial"/>
          <w:b/>
          <w:bCs/>
          <w:caps/>
          <w:color w:val="000000" w:themeColor="text1"/>
          <w:kern w:val="32"/>
          <w:szCs w:val="24"/>
        </w:rPr>
        <w:t xml:space="preserve"> Counsel Opinion</w:t>
      </w:r>
    </w:p>
    <w:p w14:paraId="5ABDA575" w14:textId="0E04735E" w:rsidR="00DF3018" w:rsidRDefault="000D6C66" w:rsidP="00A85EC6">
      <w:pPr>
        <w:spacing w:after="120"/>
        <w:ind w:right="-35"/>
        <w:rPr>
          <w:rFonts w:cs="Arial"/>
          <w:b/>
          <w:szCs w:val="24"/>
          <w:lang w:eastAsia="en-US"/>
        </w:rPr>
      </w:pPr>
      <w:r w:rsidRPr="002412E3">
        <w:rPr>
          <w:rFonts w:cs="Arial"/>
          <w:color w:val="000000" w:themeColor="text1"/>
          <w:szCs w:val="24"/>
        </w:rPr>
        <w:t xml:space="preserve">On </w:t>
      </w:r>
      <w:r w:rsidR="00C965CF">
        <w:rPr>
          <w:rFonts w:cs="Arial"/>
          <w:color w:val="000000" w:themeColor="text1"/>
          <w:szCs w:val="24"/>
        </w:rPr>
        <w:t>30</w:t>
      </w:r>
      <w:r w:rsidR="00AB51E4" w:rsidRPr="002412E3">
        <w:rPr>
          <w:rFonts w:cs="Arial"/>
          <w:color w:val="000000" w:themeColor="text1"/>
          <w:szCs w:val="24"/>
        </w:rPr>
        <w:t xml:space="preserve"> October</w:t>
      </w:r>
      <w:r w:rsidRPr="002412E3">
        <w:rPr>
          <w:rFonts w:cs="Arial"/>
          <w:color w:val="000000" w:themeColor="text1"/>
          <w:szCs w:val="24"/>
        </w:rPr>
        <w:t xml:space="preserve"> </w:t>
      </w:r>
      <w:r w:rsidR="00DF3018" w:rsidRPr="002412E3">
        <w:rPr>
          <w:rFonts w:cs="Arial"/>
          <w:color w:val="000000" w:themeColor="text1"/>
          <w:szCs w:val="24"/>
        </w:rPr>
        <w:t>20</w:t>
      </w:r>
      <w:r w:rsidR="00EE3136" w:rsidRPr="002412E3">
        <w:rPr>
          <w:rFonts w:cs="Arial"/>
          <w:color w:val="000000" w:themeColor="text1"/>
          <w:szCs w:val="24"/>
        </w:rPr>
        <w:t>20</w:t>
      </w:r>
      <w:r w:rsidR="00DF3018" w:rsidRPr="002412E3">
        <w:rPr>
          <w:rFonts w:cs="Arial"/>
          <w:color w:val="000000" w:themeColor="text1"/>
          <w:szCs w:val="24"/>
        </w:rPr>
        <w:t xml:space="preserve"> </w:t>
      </w:r>
      <w:r w:rsidRPr="002412E3">
        <w:rPr>
          <w:rFonts w:cs="Arial"/>
          <w:color w:val="000000" w:themeColor="text1"/>
          <w:szCs w:val="24"/>
        </w:rPr>
        <w:t xml:space="preserve">Parliamentary Counsel provided the final Opinion that the </w:t>
      </w:r>
      <w:r w:rsidR="00750B90" w:rsidRPr="002412E3">
        <w:rPr>
          <w:rFonts w:cs="Arial"/>
          <w:color w:val="000000" w:themeColor="text1"/>
          <w:szCs w:val="24"/>
        </w:rPr>
        <w:t>draft LEP</w:t>
      </w:r>
      <w:r w:rsidRPr="002412E3">
        <w:rPr>
          <w:rFonts w:cs="Arial"/>
          <w:color w:val="000000" w:themeColor="text1"/>
          <w:szCs w:val="24"/>
        </w:rPr>
        <w:t xml:space="preserve"> could legally </w:t>
      </w:r>
      <w:r w:rsidR="00C81384" w:rsidRPr="002412E3">
        <w:rPr>
          <w:rFonts w:cs="Arial"/>
          <w:color w:val="000000" w:themeColor="text1"/>
          <w:szCs w:val="24"/>
        </w:rPr>
        <w:t xml:space="preserve">be </w:t>
      </w:r>
      <w:r w:rsidRPr="002412E3">
        <w:rPr>
          <w:rFonts w:cs="Arial"/>
          <w:color w:val="000000" w:themeColor="text1"/>
          <w:szCs w:val="24"/>
        </w:rPr>
        <w:t>made</w:t>
      </w:r>
      <w:r w:rsidRPr="000D6C66">
        <w:rPr>
          <w:rFonts w:cs="Arial"/>
          <w:szCs w:val="24"/>
        </w:rPr>
        <w:t>. This Opinion is provided at</w:t>
      </w:r>
      <w:r w:rsidRPr="000D6C66">
        <w:rPr>
          <w:rFonts w:cs="Arial"/>
          <w:b/>
          <w:szCs w:val="24"/>
        </w:rPr>
        <w:t xml:space="preserve"> </w:t>
      </w:r>
      <w:r w:rsidR="0029444F" w:rsidRPr="002D5B8B">
        <w:rPr>
          <w:rFonts w:cs="Arial"/>
          <w:b/>
          <w:szCs w:val="24"/>
        </w:rPr>
        <w:t xml:space="preserve">Attachment </w:t>
      </w:r>
      <w:r w:rsidRPr="002D5B8B">
        <w:rPr>
          <w:rFonts w:cs="Arial"/>
          <w:b/>
          <w:szCs w:val="24"/>
        </w:rPr>
        <w:t>PC</w:t>
      </w:r>
      <w:r w:rsidRPr="000D6C66">
        <w:rPr>
          <w:rFonts w:cs="Arial"/>
          <w:szCs w:val="24"/>
        </w:rPr>
        <w:t>.</w:t>
      </w:r>
      <w:r w:rsidR="00AB51E4">
        <w:rPr>
          <w:rFonts w:cs="Arial"/>
          <w:szCs w:val="24"/>
        </w:rPr>
        <w:t xml:space="preserve"> The LEP can be found at </w:t>
      </w:r>
      <w:r w:rsidR="00AB51E4" w:rsidRPr="005C11D6">
        <w:rPr>
          <w:rFonts w:cs="Arial"/>
          <w:b/>
          <w:bCs/>
          <w:szCs w:val="24"/>
        </w:rPr>
        <w:t>Attachment LEP.</w:t>
      </w:r>
      <w:r w:rsidRPr="000D6C66">
        <w:rPr>
          <w:rFonts w:cs="Arial"/>
          <w:szCs w:val="24"/>
        </w:rPr>
        <w:t xml:space="preserve"> </w:t>
      </w:r>
    </w:p>
    <w:p w14:paraId="3881621B" w14:textId="77777777" w:rsidR="00CE1720" w:rsidRPr="000D6C66" w:rsidRDefault="00CE1720" w:rsidP="008E41F5">
      <w:pPr>
        <w:numPr>
          <w:ilvl w:val="0"/>
          <w:numId w:val="34"/>
        </w:numPr>
        <w:tabs>
          <w:tab w:val="left" w:pos="284"/>
        </w:tabs>
        <w:spacing w:before="240"/>
        <w:ind w:left="357" w:right="-35" w:hanging="357"/>
        <w:rPr>
          <w:rFonts w:cs="Arial"/>
          <w:b/>
          <w:szCs w:val="24"/>
          <w:lang w:eastAsia="en-US"/>
        </w:rPr>
      </w:pPr>
      <w:r w:rsidRPr="00C518C1">
        <w:rPr>
          <w:b/>
          <w:bCs/>
          <w:caps/>
          <w:kern w:val="32"/>
          <w:szCs w:val="24"/>
        </w:rPr>
        <w:lastRenderedPageBreak/>
        <w:t>RECOMMENDATION</w:t>
      </w:r>
      <w:r>
        <w:rPr>
          <w:rFonts w:cs="Arial"/>
          <w:b/>
          <w:szCs w:val="24"/>
          <w:lang w:eastAsia="en-US"/>
        </w:rPr>
        <w:t xml:space="preserve"> </w:t>
      </w:r>
    </w:p>
    <w:p w14:paraId="569D6F2A" w14:textId="0B5F9514" w:rsidR="000D6C66" w:rsidRPr="000D6C66" w:rsidRDefault="000D6C66" w:rsidP="00A85EC6">
      <w:pPr>
        <w:spacing w:after="120"/>
        <w:ind w:right="-35"/>
        <w:rPr>
          <w:rFonts w:cs="Arial"/>
          <w:szCs w:val="24"/>
          <w:lang w:eastAsia="en-US"/>
        </w:rPr>
      </w:pPr>
      <w:r w:rsidRPr="000D6C66">
        <w:rPr>
          <w:rFonts w:cs="Arial"/>
          <w:szCs w:val="24"/>
          <w:lang w:eastAsia="en-US"/>
        </w:rPr>
        <w:t>It is recommended that</w:t>
      </w:r>
      <w:r w:rsidR="0073516C">
        <w:rPr>
          <w:rFonts w:cs="Arial"/>
          <w:szCs w:val="24"/>
          <w:lang w:eastAsia="en-US"/>
        </w:rPr>
        <w:t xml:space="preserve"> </w:t>
      </w:r>
      <w:r w:rsidR="005229FD">
        <w:rPr>
          <w:rFonts w:cs="Arial"/>
          <w:szCs w:val="24"/>
          <w:lang w:eastAsia="en-US"/>
        </w:rPr>
        <w:t xml:space="preserve">the </w:t>
      </w:r>
      <w:r w:rsidR="0073516C">
        <w:rPr>
          <w:rFonts w:cs="Arial"/>
          <w:szCs w:val="24"/>
          <w:lang w:eastAsia="en-US"/>
        </w:rPr>
        <w:t>Minister’s</w:t>
      </w:r>
      <w:r w:rsidRPr="000D6C66">
        <w:rPr>
          <w:rFonts w:cs="Arial"/>
          <w:szCs w:val="24"/>
          <w:lang w:eastAsia="en-US"/>
        </w:rPr>
        <w:t xml:space="preserve"> delegate </w:t>
      </w:r>
      <w:r w:rsidR="0011636D">
        <w:rPr>
          <w:rFonts w:cs="Arial"/>
          <w:szCs w:val="24"/>
          <w:lang w:eastAsia="en-US"/>
        </w:rPr>
        <w:t xml:space="preserve">as the local plan-making authority </w:t>
      </w:r>
      <w:r w:rsidRPr="000D6C66">
        <w:rPr>
          <w:rFonts w:cs="Arial"/>
          <w:szCs w:val="24"/>
          <w:lang w:eastAsia="en-US"/>
        </w:rPr>
        <w:t>determine to make the</w:t>
      </w:r>
      <w:r w:rsidR="00750B90">
        <w:rPr>
          <w:rFonts w:cs="Arial"/>
          <w:szCs w:val="24"/>
          <w:lang w:eastAsia="en-US"/>
        </w:rPr>
        <w:t xml:space="preserve"> LEP</w:t>
      </w:r>
      <w:r w:rsidRPr="000D6C66">
        <w:rPr>
          <w:rFonts w:cs="Arial"/>
          <w:szCs w:val="24"/>
          <w:lang w:eastAsia="en-US"/>
        </w:rPr>
        <w:t xml:space="preserve"> </w:t>
      </w:r>
      <w:r w:rsidR="006E302B">
        <w:rPr>
          <w:rFonts w:cs="Arial"/>
          <w:szCs w:val="24"/>
          <w:lang w:eastAsia="en-US"/>
        </w:rPr>
        <w:t xml:space="preserve">under clause 3.36(2)(a) </w:t>
      </w:r>
      <w:r w:rsidR="00E8089A">
        <w:rPr>
          <w:rFonts w:cs="Arial"/>
          <w:szCs w:val="24"/>
          <w:lang w:eastAsia="en-US"/>
        </w:rPr>
        <w:t xml:space="preserve">of the Act </w:t>
      </w:r>
      <w:r w:rsidRPr="000D6C66">
        <w:rPr>
          <w:rFonts w:cs="Arial"/>
          <w:szCs w:val="24"/>
          <w:lang w:eastAsia="en-US"/>
        </w:rPr>
        <w:t xml:space="preserve">because:  </w:t>
      </w:r>
    </w:p>
    <w:p w14:paraId="70BE716D" w14:textId="00A3E91E" w:rsidR="000D6C66" w:rsidRDefault="008C3938" w:rsidP="00A85EC6">
      <w:pPr>
        <w:numPr>
          <w:ilvl w:val="0"/>
          <w:numId w:val="36"/>
        </w:numPr>
        <w:spacing w:before="120" w:after="120"/>
        <w:ind w:right="-35"/>
        <w:rPr>
          <w:rFonts w:cs="Arial"/>
          <w:szCs w:val="24"/>
          <w:lang w:eastAsia="en-US"/>
        </w:rPr>
      </w:pPr>
      <w:bookmarkStart w:id="5" w:name="_Hlk51685304"/>
      <w:r>
        <w:rPr>
          <w:rFonts w:cs="Arial"/>
          <w:szCs w:val="24"/>
          <w:lang w:eastAsia="en-US"/>
        </w:rPr>
        <w:t>t</w:t>
      </w:r>
      <w:r w:rsidR="00C529BD">
        <w:rPr>
          <w:rFonts w:cs="Arial"/>
          <w:szCs w:val="24"/>
          <w:lang w:eastAsia="en-US"/>
        </w:rPr>
        <w:t>he</w:t>
      </w:r>
      <w:r>
        <w:rPr>
          <w:rFonts w:cs="Arial"/>
          <w:szCs w:val="24"/>
          <w:lang w:eastAsia="en-US"/>
        </w:rPr>
        <w:t xml:space="preserve"> proposal</w:t>
      </w:r>
      <w:r w:rsidR="00847631">
        <w:rPr>
          <w:rFonts w:cs="Arial"/>
          <w:szCs w:val="24"/>
          <w:lang w:eastAsia="en-US"/>
        </w:rPr>
        <w:t xml:space="preserve"> addresses errors and anomalies within the Hornsby LEP 2013</w:t>
      </w:r>
      <w:r w:rsidR="005A48DB">
        <w:rPr>
          <w:rFonts w:cs="Arial"/>
          <w:szCs w:val="24"/>
          <w:lang w:eastAsia="en-US"/>
        </w:rPr>
        <w:t>;</w:t>
      </w:r>
    </w:p>
    <w:p w14:paraId="095A4BD1" w14:textId="01AE4289" w:rsidR="008C3938" w:rsidRDefault="008C3938" w:rsidP="00A85EC6">
      <w:pPr>
        <w:numPr>
          <w:ilvl w:val="0"/>
          <w:numId w:val="36"/>
        </w:numPr>
        <w:spacing w:before="120" w:after="120"/>
        <w:ind w:right="-35"/>
        <w:rPr>
          <w:rFonts w:cs="Arial"/>
          <w:szCs w:val="24"/>
          <w:lang w:eastAsia="en-US"/>
        </w:rPr>
      </w:pPr>
      <w:r>
        <w:rPr>
          <w:rFonts w:cs="Arial"/>
          <w:szCs w:val="24"/>
          <w:lang w:eastAsia="en-US"/>
        </w:rPr>
        <w:t>it seeks to extend design excellence provision across further development categories</w:t>
      </w:r>
      <w:r w:rsidR="005A48DB">
        <w:rPr>
          <w:rFonts w:cs="Arial"/>
          <w:szCs w:val="24"/>
          <w:lang w:eastAsia="en-US"/>
        </w:rPr>
        <w:t>;</w:t>
      </w:r>
    </w:p>
    <w:p w14:paraId="565FCBD2" w14:textId="4F79CF0F" w:rsidR="008C3938" w:rsidRDefault="008C3938" w:rsidP="00A85EC6">
      <w:pPr>
        <w:numPr>
          <w:ilvl w:val="0"/>
          <w:numId w:val="36"/>
        </w:numPr>
        <w:spacing w:before="120" w:after="120"/>
        <w:ind w:right="-35"/>
        <w:rPr>
          <w:rFonts w:cs="Arial"/>
          <w:szCs w:val="24"/>
          <w:lang w:eastAsia="en-US"/>
        </w:rPr>
      </w:pPr>
      <w:r>
        <w:rPr>
          <w:rFonts w:cs="Arial"/>
          <w:szCs w:val="24"/>
          <w:lang w:eastAsia="en-US"/>
        </w:rPr>
        <w:t>it is consistent with the intention of the accelerated LEP Review program</w:t>
      </w:r>
      <w:r w:rsidR="005A48DB">
        <w:rPr>
          <w:rFonts w:cs="Arial"/>
          <w:szCs w:val="24"/>
          <w:lang w:eastAsia="en-US"/>
        </w:rPr>
        <w:t>; and</w:t>
      </w:r>
    </w:p>
    <w:p w14:paraId="0F0962FF" w14:textId="2B373974" w:rsidR="005A48DB" w:rsidRPr="005C470E" w:rsidRDefault="005A48DB" w:rsidP="00A85EC6">
      <w:pPr>
        <w:numPr>
          <w:ilvl w:val="0"/>
          <w:numId w:val="36"/>
        </w:numPr>
        <w:spacing w:before="120" w:after="120"/>
        <w:ind w:right="-35"/>
        <w:rPr>
          <w:rFonts w:cs="Arial"/>
          <w:szCs w:val="24"/>
          <w:lang w:eastAsia="en-US"/>
        </w:rPr>
      </w:pPr>
      <w:r>
        <w:rPr>
          <w:rFonts w:cs="Arial"/>
          <w:szCs w:val="24"/>
          <w:lang w:eastAsia="en-US"/>
        </w:rPr>
        <w:t>the amendments will further align Hornsby LEP 2013 with the North District Plan.</w:t>
      </w:r>
    </w:p>
    <w:bookmarkEnd w:id="5"/>
    <w:p w14:paraId="55125443" w14:textId="77777777" w:rsidR="000D6C66" w:rsidRPr="000D6C66" w:rsidRDefault="000D6C66" w:rsidP="00A85EC6">
      <w:pPr>
        <w:ind w:right="-35"/>
        <w:jc w:val="right"/>
        <w:rPr>
          <w:rFonts w:cs="Arial"/>
          <w:sz w:val="18"/>
          <w:szCs w:val="18"/>
          <w:lang w:eastAsia="en-US"/>
        </w:rPr>
      </w:pPr>
    </w:p>
    <w:p w14:paraId="3B377D4F" w14:textId="77777777" w:rsidR="000D6C66" w:rsidRPr="000D6C66" w:rsidRDefault="000D6C66" w:rsidP="00A85EC6">
      <w:pPr>
        <w:tabs>
          <w:tab w:val="left" w:pos="1080"/>
          <w:tab w:val="left" w:pos="5220"/>
        </w:tabs>
        <w:ind w:right="-35"/>
        <w:rPr>
          <w:rFonts w:cs="Arial"/>
          <w:sz w:val="22"/>
          <w:szCs w:val="22"/>
        </w:rPr>
      </w:pPr>
    </w:p>
    <w:p w14:paraId="5ACF19E9" w14:textId="77777777" w:rsidR="00571FD6" w:rsidRDefault="00571FD6" w:rsidP="00A85EC6">
      <w:pPr>
        <w:tabs>
          <w:tab w:val="right" w:pos="9000"/>
        </w:tabs>
        <w:ind w:left="181" w:right="-35" w:hanging="181"/>
        <w:rPr>
          <w:rFonts w:cs="Arial"/>
          <w:b/>
          <w:szCs w:val="24"/>
        </w:rPr>
      </w:pPr>
    </w:p>
    <w:p w14:paraId="5621F428" w14:textId="19F94397" w:rsidR="0029444F" w:rsidRPr="002412E3" w:rsidRDefault="00413A01" w:rsidP="00A85EC6">
      <w:pPr>
        <w:tabs>
          <w:tab w:val="right" w:pos="9000"/>
        </w:tabs>
        <w:ind w:left="181" w:right="-35" w:hanging="181"/>
        <w:rPr>
          <w:rFonts w:cs="Arial"/>
          <w:b/>
          <w:color w:val="000000" w:themeColor="text1"/>
          <w:szCs w:val="24"/>
        </w:rPr>
      </w:pPr>
      <w:r>
        <w:rPr>
          <w:noProof/>
        </w:rPr>
        <w:drawing>
          <wp:inline distT="0" distB="0" distL="0" distR="0" wp14:anchorId="5EC6156F" wp14:editId="7031318B">
            <wp:extent cx="1013460" cy="4008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48618" cy="414752"/>
                    </a:xfrm>
                    <a:prstGeom prst="rect">
                      <a:avLst/>
                    </a:prstGeom>
                  </pic:spPr>
                </pic:pic>
              </a:graphicData>
            </a:graphic>
          </wp:inline>
        </w:drawing>
      </w:r>
      <w:r w:rsidR="00AE7B79">
        <w:rPr>
          <w:rFonts w:cs="Arial"/>
          <w:b/>
          <w:color w:val="000000" w:themeColor="text1"/>
          <w:szCs w:val="24"/>
        </w:rPr>
        <w:tab/>
      </w:r>
      <w:r w:rsidR="00AE7B79">
        <w:rPr>
          <w:noProof/>
        </w:rPr>
        <w:drawing>
          <wp:inline distT="0" distB="0" distL="0" distR="0" wp14:anchorId="0AA2B407" wp14:editId="6FE5122A">
            <wp:extent cx="1836751" cy="6122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48134" cy="649379"/>
                    </a:xfrm>
                    <a:prstGeom prst="rect">
                      <a:avLst/>
                    </a:prstGeom>
                  </pic:spPr>
                </pic:pic>
              </a:graphicData>
            </a:graphic>
          </wp:inline>
        </w:drawing>
      </w:r>
    </w:p>
    <w:p w14:paraId="6FA08DAD" w14:textId="77777777" w:rsidR="0029444F" w:rsidRPr="002412E3" w:rsidRDefault="0029444F" w:rsidP="000D3C86">
      <w:pPr>
        <w:tabs>
          <w:tab w:val="right" w:pos="9000"/>
        </w:tabs>
        <w:ind w:left="181" w:hanging="181"/>
        <w:rPr>
          <w:rFonts w:cs="Arial"/>
          <w:b/>
          <w:color w:val="000000" w:themeColor="text1"/>
          <w:szCs w:val="24"/>
        </w:rPr>
      </w:pPr>
    </w:p>
    <w:p w14:paraId="7D681C4E" w14:textId="451A62D2" w:rsidR="0029444F" w:rsidRPr="002412E3" w:rsidRDefault="00BC49B9" w:rsidP="0029444F">
      <w:pPr>
        <w:tabs>
          <w:tab w:val="left" w:pos="5529"/>
        </w:tabs>
        <w:rPr>
          <w:b/>
          <w:color w:val="000000" w:themeColor="text1"/>
          <w:szCs w:val="24"/>
        </w:rPr>
      </w:pPr>
      <w:r w:rsidRPr="002412E3">
        <w:rPr>
          <w:b/>
          <w:color w:val="000000" w:themeColor="text1"/>
          <w:szCs w:val="24"/>
        </w:rPr>
        <w:t>David Hazeldine</w:t>
      </w:r>
      <w:r w:rsidR="0029444F" w:rsidRPr="002412E3">
        <w:rPr>
          <w:b/>
          <w:color w:val="000000" w:themeColor="text1"/>
          <w:szCs w:val="24"/>
        </w:rPr>
        <w:tab/>
      </w:r>
      <w:r w:rsidRPr="002412E3">
        <w:rPr>
          <w:b/>
          <w:color w:val="000000" w:themeColor="text1"/>
          <w:szCs w:val="24"/>
        </w:rPr>
        <w:t>Luke Downend</w:t>
      </w:r>
    </w:p>
    <w:p w14:paraId="1E12E349" w14:textId="4F2F3E24" w:rsidR="0029444F" w:rsidRPr="002412E3" w:rsidRDefault="00BC49B9" w:rsidP="0029444F">
      <w:pPr>
        <w:tabs>
          <w:tab w:val="left" w:pos="5529"/>
          <w:tab w:val="left" w:pos="5940"/>
        </w:tabs>
        <w:rPr>
          <w:b/>
          <w:color w:val="000000" w:themeColor="text1"/>
          <w:szCs w:val="24"/>
        </w:rPr>
      </w:pPr>
      <w:r w:rsidRPr="002412E3">
        <w:rPr>
          <w:b/>
          <w:color w:val="000000" w:themeColor="text1"/>
          <w:szCs w:val="24"/>
        </w:rPr>
        <w:t>Manager</w:t>
      </w:r>
      <w:r w:rsidR="0029444F" w:rsidRPr="002412E3">
        <w:rPr>
          <w:b/>
          <w:color w:val="000000" w:themeColor="text1"/>
          <w:szCs w:val="24"/>
        </w:rPr>
        <w:t xml:space="preserve">, </w:t>
      </w:r>
      <w:r w:rsidR="00FC495E" w:rsidRPr="002412E3">
        <w:rPr>
          <w:b/>
          <w:color w:val="000000" w:themeColor="text1"/>
          <w:szCs w:val="24"/>
        </w:rPr>
        <w:t xml:space="preserve">Place &amp; Infrastructure </w:t>
      </w:r>
      <w:r w:rsidR="0029444F" w:rsidRPr="002412E3">
        <w:rPr>
          <w:b/>
          <w:color w:val="000000" w:themeColor="text1"/>
          <w:szCs w:val="24"/>
        </w:rPr>
        <w:tab/>
      </w:r>
      <w:r w:rsidR="0089347C">
        <w:rPr>
          <w:b/>
          <w:color w:val="000000" w:themeColor="text1"/>
          <w:szCs w:val="24"/>
        </w:rPr>
        <w:t xml:space="preserve">Acting </w:t>
      </w:r>
      <w:r w:rsidRPr="002412E3">
        <w:rPr>
          <w:b/>
          <w:color w:val="000000" w:themeColor="text1"/>
          <w:szCs w:val="24"/>
        </w:rPr>
        <w:t>Director, North District</w:t>
      </w:r>
    </w:p>
    <w:p w14:paraId="55A6203D" w14:textId="02E42011" w:rsidR="00E63284" w:rsidRPr="002412E3" w:rsidRDefault="00E63284" w:rsidP="0029444F">
      <w:pPr>
        <w:tabs>
          <w:tab w:val="left" w:pos="5529"/>
          <w:tab w:val="left" w:pos="5940"/>
        </w:tabs>
        <w:rPr>
          <w:b/>
          <w:color w:val="000000" w:themeColor="text1"/>
          <w:szCs w:val="24"/>
        </w:rPr>
      </w:pPr>
      <w:r w:rsidRPr="002412E3">
        <w:rPr>
          <w:b/>
          <w:color w:val="000000" w:themeColor="text1"/>
          <w:szCs w:val="24"/>
        </w:rPr>
        <w:tab/>
      </w:r>
      <w:r w:rsidR="00BC49B9" w:rsidRPr="002412E3">
        <w:rPr>
          <w:b/>
          <w:color w:val="000000" w:themeColor="text1"/>
          <w:szCs w:val="24"/>
        </w:rPr>
        <w:t>Eastern Harbour City</w:t>
      </w:r>
    </w:p>
    <w:p w14:paraId="612FB141" w14:textId="77777777" w:rsidR="0029444F" w:rsidRPr="00A15C06" w:rsidRDefault="0029444F" w:rsidP="0029444F">
      <w:pPr>
        <w:tabs>
          <w:tab w:val="left" w:pos="5529"/>
          <w:tab w:val="left" w:pos="5940"/>
        </w:tabs>
        <w:rPr>
          <w:b/>
          <w:szCs w:val="24"/>
        </w:rPr>
      </w:pPr>
      <w:r>
        <w:rPr>
          <w:b/>
          <w:szCs w:val="24"/>
        </w:rPr>
        <w:tab/>
      </w:r>
    </w:p>
    <w:p w14:paraId="7DAFF66F" w14:textId="77777777" w:rsidR="0029444F" w:rsidRDefault="0029444F" w:rsidP="0029444F">
      <w:pPr>
        <w:jc w:val="right"/>
        <w:rPr>
          <w:rFonts w:cs="Arial"/>
          <w:sz w:val="20"/>
        </w:rPr>
      </w:pPr>
    </w:p>
    <w:p w14:paraId="628DE8C6" w14:textId="77777777" w:rsidR="0029444F" w:rsidRPr="00610141" w:rsidRDefault="0029444F" w:rsidP="0029444F">
      <w:pPr>
        <w:jc w:val="right"/>
        <w:rPr>
          <w:rFonts w:cs="Arial"/>
          <w:color w:val="000000" w:themeColor="text1"/>
          <w:sz w:val="20"/>
        </w:rPr>
      </w:pPr>
    </w:p>
    <w:p w14:paraId="7927D5DC" w14:textId="7E531D94" w:rsidR="0029444F" w:rsidRPr="00610141" w:rsidRDefault="00590055" w:rsidP="0029444F">
      <w:pPr>
        <w:jc w:val="right"/>
        <w:rPr>
          <w:rFonts w:cs="Arial"/>
          <w:color w:val="000000" w:themeColor="text1"/>
          <w:sz w:val="20"/>
        </w:rPr>
      </w:pPr>
      <w:r w:rsidRPr="00610141">
        <w:rPr>
          <w:rFonts w:cs="Arial"/>
          <w:color w:val="000000" w:themeColor="text1"/>
          <w:sz w:val="20"/>
        </w:rPr>
        <w:t>Assessment</w:t>
      </w:r>
      <w:r w:rsidR="0029444F" w:rsidRPr="00610141">
        <w:rPr>
          <w:rFonts w:cs="Arial"/>
          <w:color w:val="000000" w:themeColor="text1"/>
          <w:sz w:val="20"/>
        </w:rPr>
        <w:t xml:space="preserve"> </w:t>
      </w:r>
      <w:r w:rsidRPr="00610141">
        <w:rPr>
          <w:rFonts w:cs="Arial"/>
          <w:color w:val="000000" w:themeColor="text1"/>
          <w:sz w:val="20"/>
        </w:rPr>
        <w:t>o</w:t>
      </w:r>
      <w:r w:rsidR="0029444F" w:rsidRPr="00610141">
        <w:rPr>
          <w:rFonts w:cs="Arial"/>
          <w:color w:val="000000" w:themeColor="text1"/>
          <w:sz w:val="20"/>
        </w:rPr>
        <w:t xml:space="preserve">fficer: </w:t>
      </w:r>
      <w:r w:rsidR="00610141" w:rsidRPr="00610141">
        <w:rPr>
          <w:rFonts w:cs="Arial"/>
          <w:color w:val="000000" w:themeColor="text1"/>
          <w:sz w:val="20"/>
        </w:rPr>
        <w:t>Michael Cividin</w:t>
      </w:r>
    </w:p>
    <w:p w14:paraId="08444246" w14:textId="7525957A" w:rsidR="0029444F" w:rsidRPr="00610141" w:rsidRDefault="00610141" w:rsidP="0029444F">
      <w:pPr>
        <w:jc w:val="right"/>
        <w:rPr>
          <w:rFonts w:cs="Arial"/>
          <w:color w:val="000000" w:themeColor="text1"/>
          <w:sz w:val="20"/>
        </w:rPr>
      </w:pPr>
      <w:r w:rsidRPr="00610141">
        <w:rPr>
          <w:rFonts w:cs="Arial"/>
          <w:color w:val="000000" w:themeColor="text1"/>
          <w:sz w:val="20"/>
        </w:rPr>
        <w:t>Planning Officer</w:t>
      </w:r>
      <w:r w:rsidR="0029444F" w:rsidRPr="00610141">
        <w:rPr>
          <w:rFonts w:cs="Arial"/>
          <w:color w:val="000000" w:themeColor="text1"/>
          <w:sz w:val="20"/>
        </w:rPr>
        <w:t xml:space="preserve">, </w:t>
      </w:r>
      <w:r w:rsidRPr="00610141">
        <w:rPr>
          <w:rFonts w:cs="Arial"/>
          <w:color w:val="000000" w:themeColor="text1"/>
          <w:sz w:val="20"/>
        </w:rPr>
        <w:t>North District</w:t>
      </w:r>
    </w:p>
    <w:p w14:paraId="3DAF39E4" w14:textId="71D51D14" w:rsidR="0029444F" w:rsidRPr="00610141" w:rsidRDefault="0029444F" w:rsidP="0029444F">
      <w:pPr>
        <w:jc w:val="right"/>
        <w:rPr>
          <w:color w:val="000000" w:themeColor="text1"/>
          <w:sz w:val="20"/>
        </w:rPr>
      </w:pPr>
      <w:bookmarkStart w:id="6" w:name="_GoBack"/>
      <w:bookmarkEnd w:id="6"/>
      <w:r w:rsidRPr="00610141">
        <w:rPr>
          <w:color w:val="000000" w:themeColor="text1"/>
          <w:sz w:val="20"/>
        </w:rPr>
        <w:t xml:space="preserve">Phone: </w:t>
      </w:r>
      <w:r w:rsidR="00610141" w:rsidRPr="00610141">
        <w:rPr>
          <w:color w:val="000000" w:themeColor="text1"/>
          <w:sz w:val="20"/>
        </w:rPr>
        <w:t>9860 1554</w:t>
      </w:r>
    </w:p>
    <w:p w14:paraId="064CBE17" w14:textId="1117555C" w:rsidR="0029444F" w:rsidRDefault="0029444F" w:rsidP="000D3C86">
      <w:pPr>
        <w:tabs>
          <w:tab w:val="right" w:pos="9000"/>
        </w:tabs>
        <w:ind w:left="181" w:hanging="181"/>
        <w:rPr>
          <w:rFonts w:cs="Arial"/>
          <w:b/>
          <w:szCs w:val="24"/>
        </w:rPr>
      </w:pPr>
    </w:p>
    <w:p w14:paraId="473274E7" w14:textId="75BB8A85" w:rsidR="003E2CA1" w:rsidRPr="002412E3" w:rsidRDefault="003E2CA1" w:rsidP="002412E3">
      <w:pPr>
        <w:rPr>
          <w:rFonts w:cs="Arial"/>
          <w:szCs w:val="24"/>
        </w:rPr>
      </w:pPr>
    </w:p>
    <w:p w14:paraId="36BE10E5" w14:textId="3D202FC4" w:rsidR="003E2CA1" w:rsidRPr="002412E3" w:rsidRDefault="000B5E95" w:rsidP="003E2CA1">
      <w:pPr>
        <w:rPr>
          <w:rFonts w:cs="Arial"/>
          <w:bCs/>
          <w:szCs w:val="24"/>
        </w:rPr>
      </w:pPr>
      <w:r w:rsidRPr="002412E3">
        <w:rPr>
          <w:rFonts w:cs="Arial"/>
          <w:bCs/>
          <w:szCs w:val="24"/>
        </w:rPr>
        <w:t>Attachments</w:t>
      </w:r>
    </w:p>
    <w:p w14:paraId="16D53D6F" w14:textId="77777777" w:rsidR="000B5E95" w:rsidRDefault="000B5E95" w:rsidP="003E2CA1">
      <w:pPr>
        <w:rPr>
          <w:rFonts w:cs="Arial"/>
          <w:b/>
          <w:szCs w:val="24"/>
        </w:rPr>
      </w:pPr>
    </w:p>
    <w:tbl>
      <w:tblPr>
        <w:tblStyle w:val="TableGrid"/>
        <w:tblW w:w="0" w:type="auto"/>
        <w:tblInd w:w="-5" w:type="dxa"/>
        <w:tblBorders>
          <w:left w:val="none" w:sz="0" w:space="0" w:color="auto"/>
          <w:right w:val="none" w:sz="0" w:space="0" w:color="auto"/>
        </w:tblBorders>
        <w:tblLook w:val="04A0" w:firstRow="1" w:lastRow="0" w:firstColumn="1" w:lastColumn="0" w:noHBand="0" w:noVBand="1"/>
      </w:tblPr>
      <w:tblGrid>
        <w:gridCol w:w="1560"/>
        <w:gridCol w:w="7499"/>
      </w:tblGrid>
      <w:tr w:rsidR="003E2CA1" w:rsidRPr="003E2CA1" w14:paraId="626B64A1" w14:textId="77777777" w:rsidTr="001835F4">
        <w:tc>
          <w:tcPr>
            <w:tcW w:w="1560" w:type="dxa"/>
            <w:shd w:val="clear" w:color="auto" w:fill="DBDBDB" w:themeFill="accent3" w:themeFillTint="66"/>
          </w:tcPr>
          <w:p w14:paraId="0E58EEF8" w14:textId="77777777" w:rsidR="003E2CA1" w:rsidRPr="003E2CA1" w:rsidRDefault="003E2CA1" w:rsidP="003E2CA1">
            <w:pPr>
              <w:rPr>
                <w:rFonts w:cs="Arial"/>
                <w:b/>
                <w:szCs w:val="24"/>
              </w:rPr>
            </w:pPr>
            <w:r w:rsidRPr="003E2CA1">
              <w:rPr>
                <w:rFonts w:cs="Arial"/>
                <w:b/>
                <w:szCs w:val="24"/>
              </w:rPr>
              <w:t>Attachment</w:t>
            </w:r>
          </w:p>
        </w:tc>
        <w:tc>
          <w:tcPr>
            <w:tcW w:w="7499" w:type="dxa"/>
            <w:shd w:val="clear" w:color="auto" w:fill="DBDBDB" w:themeFill="accent3" w:themeFillTint="66"/>
          </w:tcPr>
          <w:p w14:paraId="04D45FC9" w14:textId="77777777" w:rsidR="003E2CA1" w:rsidRPr="003E2CA1" w:rsidRDefault="003E2CA1" w:rsidP="003E2CA1">
            <w:pPr>
              <w:rPr>
                <w:rFonts w:cs="Arial"/>
                <w:b/>
                <w:szCs w:val="24"/>
              </w:rPr>
            </w:pPr>
            <w:r w:rsidRPr="003E2CA1">
              <w:rPr>
                <w:rFonts w:cs="Arial"/>
                <w:b/>
                <w:szCs w:val="24"/>
              </w:rPr>
              <w:t>Title</w:t>
            </w:r>
          </w:p>
        </w:tc>
      </w:tr>
      <w:tr w:rsidR="003E2CA1" w:rsidRPr="003E2CA1" w14:paraId="3B2030D9" w14:textId="77777777" w:rsidTr="001835F4">
        <w:tc>
          <w:tcPr>
            <w:tcW w:w="1560" w:type="dxa"/>
          </w:tcPr>
          <w:p w14:paraId="3BA524EB" w14:textId="77777777" w:rsidR="003E2CA1" w:rsidRPr="003E2CA1" w:rsidRDefault="003E2CA1" w:rsidP="003E2CA1">
            <w:pPr>
              <w:rPr>
                <w:rFonts w:cs="Arial"/>
                <w:szCs w:val="24"/>
                <w:lang w:val="en-US"/>
              </w:rPr>
            </w:pPr>
            <w:r w:rsidRPr="003E2CA1">
              <w:rPr>
                <w:rFonts w:cs="Arial"/>
                <w:szCs w:val="24"/>
                <w:lang w:val="en-US"/>
              </w:rPr>
              <w:t>A</w:t>
            </w:r>
          </w:p>
        </w:tc>
        <w:tc>
          <w:tcPr>
            <w:tcW w:w="7499" w:type="dxa"/>
            <w:vAlign w:val="center"/>
          </w:tcPr>
          <w:p w14:paraId="49862AAE" w14:textId="77777777" w:rsidR="003E2CA1" w:rsidRPr="003E2CA1" w:rsidRDefault="003E2CA1" w:rsidP="003E2CA1">
            <w:pPr>
              <w:rPr>
                <w:rFonts w:cs="Arial"/>
                <w:szCs w:val="24"/>
              </w:rPr>
            </w:pPr>
            <w:r w:rsidRPr="003E2CA1">
              <w:rPr>
                <w:rFonts w:cs="Arial"/>
                <w:szCs w:val="24"/>
              </w:rPr>
              <w:t>Planning Proposal – June 2020</w:t>
            </w:r>
          </w:p>
        </w:tc>
      </w:tr>
      <w:tr w:rsidR="003E2CA1" w:rsidRPr="003E2CA1" w14:paraId="556ED3B8" w14:textId="77777777" w:rsidTr="001835F4">
        <w:tc>
          <w:tcPr>
            <w:tcW w:w="1560" w:type="dxa"/>
          </w:tcPr>
          <w:p w14:paraId="5CFED44A" w14:textId="77777777" w:rsidR="003E2CA1" w:rsidRPr="003E2CA1" w:rsidRDefault="003E2CA1" w:rsidP="003E2CA1">
            <w:pPr>
              <w:rPr>
                <w:rFonts w:cs="Arial"/>
                <w:szCs w:val="24"/>
                <w:lang w:val="en-US"/>
              </w:rPr>
            </w:pPr>
            <w:r w:rsidRPr="003E2CA1">
              <w:rPr>
                <w:rFonts w:cs="Arial"/>
                <w:szCs w:val="24"/>
                <w:lang w:val="en-US"/>
              </w:rPr>
              <w:t>B</w:t>
            </w:r>
          </w:p>
        </w:tc>
        <w:tc>
          <w:tcPr>
            <w:tcW w:w="7499" w:type="dxa"/>
            <w:vAlign w:val="center"/>
          </w:tcPr>
          <w:p w14:paraId="37230475" w14:textId="77777777" w:rsidR="003E2CA1" w:rsidRPr="003E2CA1" w:rsidRDefault="003E2CA1" w:rsidP="003E2CA1">
            <w:pPr>
              <w:rPr>
                <w:rFonts w:cs="Arial"/>
                <w:szCs w:val="24"/>
              </w:rPr>
            </w:pPr>
            <w:r w:rsidRPr="003E2CA1">
              <w:rPr>
                <w:rFonts w:cs="Arial"/>
                <w:szCs w:val="24"/>
              </w:rPr>
              <w:t>Gateway Determination – February 2020</w:t>
            </w:r>
          </w:p>
        </w:tc>
      </w:tr>
      <w:tr w:rsidR="003E2CA1" w:rsidRPr="003E2CA1" w14:paraId="6FE53438" w14:textId="77777777" w:rsidTr="001835F4">
        <w:tc>
          <w:tcPr>
            <w:tcW w:w="1560" w:type="dxa"/>
          </w:tcPr>
          <w:p w14:paraId="17BD242B" w14:textId="77777777" w:rsidR="003E2CA1" w:rsidRPr="003E2CA1" w:rsidRDefault="003E2CA1" w:rsidP="003E2CA1">
            <w:pPr>
              <w:rPr>
                <w:rFonts w:cs="Arial"/>
                <w:szCs w:val="24"/>
                <w:lang w:val="en-US"/>
              </w:rPr>
            </w:pPr>
            <w:r w:rsidRPr="003E2CA1">
              <w:rPr>
                <w:rFonts w:cs="Arial"/>
                <w:szCs w:val="24"/>
                <w:lang w:val="en-US"/>
              </w:rPr>
              <w:t>C1</w:t>
            </w:r>
          </w:p>
        </w:tc>
        <w:tc>
          <w:tcPr>
            <w:tcW w:w="7499" w:type="dxa"/>
            <w:vAlign w:val="center"/>
          </w:tcPr>
          <w:p w14:paraId="4E2155CB" w14:textId="77777777" w:rsidR="003E2CA1" w:rsidRPr="003E2CA1" w:rsidRDefault="003E2CA1" w:rsidP="003E2CA1">
            <w:pPr>
              <w:rPr>
                <w:rFonts w:cs="Arial"/>
                <w:szCs w:val="24"/>
              </w:rPr>
            </w:pPr>
            <w:r w:rsidRPr="003E2CA1">
              <w:rPr>
                <w:rFonts w:cs="Arial"/>
                <w:szCs w:val="24"/>
              </w:rPr>
              <w:t>Schedule 5 Heritage Amendments</w:t>
            </w:r>
          </w:p>
        </w:tc>
      </w:tr>
      <w:tr w:rsidR="003E2CA1" w:rsidRPr="003E2CA1" w14:paraId="39AF316F" w14:textId="77777777" w:rsidTr="001835F4">
        <w:tc>
          <w:tcPr>
            <w:tcW w:w="1560" w:type="dxa"/>
          </w:tcPr>
          <w:p w14:paraId="471142A0" w14:textId="77777777" w:rsidR="003E2CA1" w:rsidRPr="003E2CA1" w:rsidRDefault="003E2CA1" w:rsidP="003E2CA1">
            <w:pPr>
              <w:rPr>
                <w:rFonts w:cs="Arial"/>
                <w:szCs w:val="24"/>
                <w:lang w:val="en-US"/>
              </w:rPr>
            </w:pPr>
            <w:r w:rsidRPr="003E2CA1">
              <w:rPr>
                <w:rFonts w:cs="Arial"/>
                <w:szCs w:val="24"/>
                <w:lang w:val="en-US"/>
              </w:rPr>
              <w:t>C2</w:t>
            </w:r>
          </w:p>
        </w:tc>
        <w:tc>
          <w:tcPr>
            <w:tcW w:w="7499" w:type="dxa"/>
            <w:vAlign w:val="center"/>
          </w:tcPr>
          <w:p w14:paraId="7C35DEBF" w14:textId="77777777" w:rsidR="003E2CA1" w:rsidRPr="003E2CA1" w:rsidRDefault="003E2CA1" w:rsidP="003E2CA1">
            <w:pPr>
              <w:rPr>
                <w:rFonts w:cs="Arial"/>
                <w:szCs w:val="24"/>
              </w:rPr>
            </w:pPr>
            <w:r w:rsidRPr="003E2CA1">
              <w:rPr>
                <w:rFonts w:cs="Arial"/>
                <w:szCs w:val="24"/>
              </w:rPr>
              <w:t>Properties affected by HOB amendments</w:t>
            </w:r>
          </w:p>
        </w:tc>
      </w:tr>
      <w:tr w:rsidR="003E2CA1" w:rsidRPr="003E2CA1" w14:paraId="39C91CCA" w14:textId="77777777" w:rsidTr="001835F4">
        <w:tc>
          <w:tcPr>
            <w:tcW w:w="1560" w:type="dxa"/>
          </w:tcPr>
          <w:p w14:paraId="11084678" w14:textId="77777777" w:rsidR="003E2CA1" w:rsidRPr="003E2CA1" w:rsidRDefault="003E2CA1" w:rsidP="003E2CA1">
            <w:pPr>
              <w:rPr>
                <w:rFonts w:cs="Arial"/>
                <w:szCs w:val="24"/>
                <w:lang w:val="en-US"/>
              </w:rPr>
            </w:pPr>
            <w:r w:rsidRPr="003E2CA1">
              <w:rPr>
                <w:rFonts w:cs="Arial"/>
                <w:szCs w:val="24"/>
                <w:lang w:val="en-US"/>
              </w:rPr>
              <w:t>C3</w:t>
            </w:r>
          </w:p>
        </w:tc>
        <w:tc>
          <w:tcPr>
            <w:tcW w:w="7499" w:type="dxa"/>
            <w:vAlign w:val="center"/>
          </w:tcPr>
          <w:p w14:paraId="05842697" w14:textId="77777777" w:rsidR="003E2CA1" w:rsidRPr="003E2CA1" w:rsidRDefault="003E2CA1" w:rsidP="003E2CA1">
            <w:pPr>
              <w:rPr>
                <w:rFonts w:cs="Arial"/>
                <w:szCs w:val="24"/>
              </w:rPr>
            </w:pPr>
            <w:r w:rsidRPr="003E2CA1">
              <w:rPr>
                <w:rFonts w:cs="Arial"/>
                <w:szCs w:val="24"/>
              </w:rPr>
              <w:t>Responses from public authorities</w:t>
            </w:r>
          </w:p>
        </w:tc>
      </w:tr>
      <w:tr w:rsidR="003E2CA1" w:rsidRPr="003E2CA1" w14:paraId="6DED2054" w14:textId="77777777" w:rsidTr="001835F4">
        <w:tc>
          <w:tcPr>
            <w:tcW w:w="1560" w:type="dxa"/>
          </w:tcPr>
          <w:p w14:paraId="7362321E" w14:textId="77777777" w:rsidR="003E2CA1" w:rsidRPr="003E2CA1" w:rsidRDefault="003E2CA1" w:rsidP="003E2CA1">
            <w:pPr>
              <w:rPr>
                <w:rFonts w:cs="Arial"/>
                <w:szCs w:val="24"/>
                <w:lang w:val="en-US"/>
              </w:rPr>
            </w:pPr>
            <w:r w:rsidRPr="003E2CA1">
              <w:rPr>
                <w:rFonts w:cs="Arial"/>
                <w:szCs w:val="24"/>
                <w:lang w:val="en-US"/>
              </w:rPr>
              <w:t>C4</w:t>
            </w:r>
          </w:p>
        </w:tc>
        <w:tc>
          <w:tcPr>
            <w:tcW w:w="7499" w:type="dxa"/>
            <w:vAlign w:val="center"/>
          </w:tcPr>
          <w:p w14:paraId="1929A6B5" w14:textId="77777777" w:rsidR="003E2CA1" w:rsidRPr="003E2CA1" w:rsidRDefault="003E2CA1" w:rsidP="003E2CA1">
            <w:pPr>
              <w:rPr>
                <w:rFonts w:cs="Arial"/>
                <w:szCs w:val="24"/>
              </w:rPr>
            </w:pPr>
            <w:r w:rsidRPr="003E2CA1">
              <w:rPr>
                <w:rFonts w:cs="Arial"/>
                <w:szCs w:val="24"/>
              </w:rPr>
              <w:t>Council Report and Report on Submissions</w:t>
            </w:r>
          </w:p>
        </w:tc>
      </w:tr>
      <w:tr w:rsidR="003E2CA1" w:rsidRPr="003E2CA1" w14:paraId="3DD7F710" w14:textId="77777777" w:rsidTr="001835F4">
        <w:tc>
          <w:tcPr>
            <w:tcW w:w="1560" w:type="dxa"/>
          </w:tcPr>
          <w:p w14:paraId="3CFE27A8" w14:textId="77777777" w:rsidR="003E2CA1" w:rsidRPr="003E2CA1" w:rsidRDefault="003E2CA1" w:rsidP="003E2CA1">
            <w:pPr>
              <w:rPr>
                <w:rFonts w:cs="Arial"/>
                <w:szCs w:val="24"/>
                <w:lang w:val="en-US"/>
              </w:rPr>
            </w:pPr>
            <w:r w:rsidRPr="003E2CA1">
              <w:rPr>
                <w:rFonts w:cs="Arial"/>
                <w:szCs w:val="24"/>
                <w:lang w:val="en-US"/>
              </w:rPr>
              <w:t>D</w:t>
            </w:r>
          </w:p>
        </w:tc>
        <w:tc>
          <w:tcPr>
            <w:tcW w:w="7499" w:type="dxa"/>
            <w:vAlign w:val="center"/>
          </w:tcPr>
          <w:p w14:paraId="7D443CA8" w14:textId="77777777" w:rsidR="003E2CA1" w:rsidRPr="003E2CA1" w:rsidRDefault="003E2CA1" w:rsidP="003E2CA1">
            <w:pPr>
              <w:rPr>
                <w:rFonts w:cs="Arial"/>
                <w:szCs w:val="24"/>
              </w:rPr>
            </w:pPr>
            <w:r w:rsidRPr="003E2CA1">
              <w:rPr>
                <w:rFonts w:cs="Arial"/>
                <w:szCs w:val="24"/>
              </w:rPr>
              <w:t>Section 3.36(1) and Council comments on draft LEP</w:t>
            </w:r>
          </w:p>
        </w:tc>
      </w:tr>
      <w:tr w:rsidR="003E2CA1" w:rsidRPr="003E2CA1" w14:paraId="7F77B7AB" w14:textId="77777777" w:rsidTr="001835F4">
        <w:tc>
          <w:tcPr>
            <w:tcW w:w="1560" w:type="dxa"/>
          </w:tcPr>
          <w:p w14:paraId="212DE85F" w14:textId="77777777" w:rsidR="003E2CA1" w:rsidRPr="003E2CA1" w:rsidRDefault="003E2CA1" w:rsidP="003E2CA1">
            <w:pPr>
              <w:rPr>
                <w:rFonts w:cs="Arial"/>
                <w:szCs w:val="24"/>
                <w:lang w:val="en-US"/>
              </w:rPr>
            </w:pPr>
            <w:r w:rsidRPr="003E2CA1">
              <w:rPr>
                <w:rFonts w:cs="Arial"/>
                <w:szCs w:val="24"/>
                <w:lang w:val="en-US"/>
              </w:rPr>
              <w:t>PC</w:t>
            </w:r>
          </w:p>
        </w:tc>
        <w:tc>
          <w:tcPr>
            <w:tcW w:w="7499" w:type="dxa"/>
            <w:vAlign w:val="center"/>
          </w:tcPr>
          <w:p w14:paraId="793849E4" w14:textId="77777777" w:rsidR="003E2CA1" w:rsidRPr="003E2CA1" w:rsidRDefault="003E2CA1" w:rsidP="003E2CA1">
            <w:pPr>
              <w:rPr>
                <w:rFonts w:cs="Arial"/>
                <w:szCs w:val="24"/>
              </w:rPr>
            </w:pPr>
            <w:r w:rsidRPr="003E2CA1">
              <w:rPr>
                <w:rFonts w:cs="Arial"/>
                <w:szCs w:val="24"/>
              </w:rPr>
              <w:t xml:space="preserve">Parliamentary Counsel’s Opinion </w:t>
            </w:r>
          </w:p>
        </w:tc>
      </w:tr>
      <w:tr w:rsidR="003E2CA1" w:rsidRPr="003E2CA1" w14:paraId="0A532A34" w14:textId="77777777" w:rsidTr="001835F4">
        <w:tc>
          <w:tcPr>
            <w:tcW w:w="1560" w:type="dxa"/>
          </w:tcPr>
          <w:p w14:paraId="2ECE2777" w14:textId="77777777" w:rsidR="003E2CA1" w:rsidRPr="003E2CA1" w:rsidRDefault="003E2CA1" w:rsidP="003E2CA1">
            <w:pPr>
              <w:rPr>
                <w:rFonts w:cs="Arial"/>
                <w:szCs w:val="24"/>
                <w:lang w:val="en-US"/>
              </w:rPr>
            </w:pPr>
            <w:r w:rsidRPr="003E2CA1">
              <w:rPr>
                <w:rFonts w:cs="Arial"/>
                <w:szCs w:val="24"/>
                <w:lang w:val="en-US"/>
              </w:rPr>
              <w:t>LEP Maps</w:t>
            </w:r>
          </w:p>
        </w:tc>
        <w:tc>
          <w:tcPr>
            <w:tcW w:w="7499" w:type="dxa"/>
            <w:vAlign w:val="center"/>
          </w:tcPr>
          <w:p w14:paraId="35CCBBF3" w14:textId="77777777" w:rsidR="003E2CA1" w:rsidRPr="003E2CA1" w:rsidRDefault="003E2CA1" w:rsidP="003E2CA1">
            <w:pPr>
              <w:rPr>
                <w:rFonts w:cs="Arial"/>
                <w:szCs w:val="24"/>
              </w:rPr>
            </w:pPr>
            <w:r w:rsidRPr="003E2CA1">
              <w:rPr>
                <w:rFonts w:cs="Arial"/>
                <w:szCs w:val="24"/>
              </w:rPr>
              <w:t xml:space="preserve">LEP maps </w:t>
            </w:r>
          </w:p>
        </w:tc>
      </w:tr>
      <w:tr w:rsidR="003E2CA1" w:rsidRPr="003E2CA1" w14:paraId="0AFD630F" w14:textId="77777777" w:rsidTr="001835F4">
        <w:tc>
          <w:tcPr>
            <w:tcW w:w="1560" w:type="dxa"/>
          </w:tcPr>
          <w:p w14:paraId="3386C6F6" w14:textId="77777777" w:rsidR="003E2CA1" w:rsidRPr="003E2CA1" w:rsidRDefault="003E2CA1" w:rsidP="003E2CA1">
            <w:pPr>
              <w:rPr>
                <w:rFonts w:cs="Arial"/>
                <w:szCs w:val="24"/>
                <w:lang w:val="en-US"/>
              </w:rPr>
            </w:pPr>
            <w:r w:rsidRPr="003E2CA1">
              <w:rPr>
                <w:rFonts w:cs="Arial"/>
                <w:szCs w:val="24"/>
                <w:lang w:val="en-US"/>
              </w:rPr>
              <w:t>LEP</w:t>
            </w:r>
          </w:p>
        </w:tc>
        <w:tc>
          <w:tcPr>
            <w:tcW w:w="7499" w:type="dxa"/>
            <w:vAlign w:val="center"/>
          </w:tcPr>
          <w:p w14:paraId="548B9C70" w14:textId="77777777" w:rsidR="003E2CA1" w:rsidRPr="003E2CA1" w:rsidRDefault="003E2CA1" w:rsidP="003E2CA1">
            <w:pPr>
              <w:rPr>
                <w:rFonts w:cs="Arial"/>
                <w:szCs w:val="24"/>
              </w:rPr>
            </w:pPr>
            <w:r w:rsidRPr="003E2CA1">
              <w:rPr>
                <w:rFonts w:cs="Arial"/>
                <w:szCs w:val="24"/>
              </w:rPr>
              <w:t>LEP</w:t>
            </w:r>
          </w:p>
        </w:tc>
      </w:tr>
      <w:tr w:rsidR="003E2CA1" w:rsidRPr="003E2CA1" w14:paraId="076C13CC" w14:textId="77777777" w:rsidTr="001835F4">
        <w:tc>
          <w:tcPr>
            <w:tcW w:w="1560" w:type="dxa"/>
          </w:tcPr>
          <w:p w14:paraId="35CDFF48" w14:textId="77777777" w:rsidR="003E2CA1" w:rsidRPr="003E2CA1" w:rsidRDefault="003E2CA1" w:rsidP="003E2CA1">
            <w:pPr>
              <w:rPr>
                <w:rFonts w:cs="Arial"/>
                <w:szCs w:val="24"/>
                <w:lang w:val="en-US"/>
              </w:rPr>
            </w:pPr>
            <w:r w:rsidRPr="003E2CA1">
              <w:rPr>
                <w:rFonts w:cs="Arial"/>
                <w:szCs w:val="24"/>
                <w:lang w:val="en-US"/>
              </w:rPr>
              <w:t>MCS</w:t>
            </w:r>
          </w:p>
        </w:tc>
        <w:tc>
          <w:tcPr>
            <w:tcW w:w="7499" w:type="dxa"/>
            <w:vAlign w:val="center"/>
          </w:tcPr>
          <w:p w14:paraId="3AC735EA" w14:textId="77777777" w:rsidR="003E2CA1" w:rsidRPr="003E2CA1" w:rsidRDefault="003E2CA1" w:rsidP="003E2CA1">
            <w:pPr>
              <w:rPr>
                <w:rFonts w:cs="Arial"/>
                <w:szCs w:val="24"/>
              </w:rPr>
            </w:pPr>
            <w:r w:rsidRPr="003E2CA1">
              <w:rPr>
                <w:rFonts w:cs="Arial"/>
                <w:szCs w:val="24"/>
              </w:rPr>
              <w:t>Map cover sheet</w:t>
            </w:r>
          </w:p>
        </w:tc>
      </w:tr>
    </w:tbl>
    <w:p w14:paraId="36DCC7C1" w14:textId="77777777" w:rsidR="003E2CA1" w:rsidRPr="002412E3" w:rsidRDefault="003E2CA1" w:rsidP="002412E3">
      <w:pPr>
        <w:rPr>
          <w:rFonts w:cs="Arial"/>
          <w:szCs w:val="24"/>
        </w:rPr>
      </w:pPr>
    </w:p>
    <w:sectPr w:rsidR="003E2CA1" w:rsidRPr="002412E3" w:rsidSect="00484807">
      <w:footerReference w:type="default" r:id="rId14"/>
      <w:headerReference w:type="first" r:id="rId15"/>
      <w:footerReference w:type="first" r:id="rId16"/>
      <w:pgSz w:w="11906" w:h="16838"/>
      <w:pgMar w:top="1135" w:right="1080" w:bottom="993"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65848" w14:textId="77777777" w:rsidR="00646576" w:rsidRDefault="00646576">
      <w:r>
        <w:separator/>
      </w:r>
    </w:p>
  </w:endnote>
  <w:endnote w:type="continuationSeparator" w:id="0">
    <w:p w14:paraId="4F189DB8" w14:textId="77777777" w:rsidR="00646576" w:rsidRDefault="0064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64669" w14:textId="77777777" w:rsidR="00701301" w:rsidRPr="00F913C6" w:rsidRDefault="00701301" w:rsidP="00C516E7">
    <w:pPr>
      <w:pStyle w:val="Footer"/>
      <w:framePr w:wrap="around" w:vAnchor="text" w:hAnchor="margin" w:xAlign="right" w:y="1"/>
      <w:rPr>
        <w:rStyle w:val="PageNumber"/>
        <w:b/>
        <w:color w:val="002060"/>
      </w:rPr>
    </w:pPr>
    <w:r w:rsidRPr="00F913C6">
      <w:rPr>
        <w:rStyle w:val="PageNumber"/>
        <w:b/>
        <w:color w:val="002060"/>
      </w:rPr>
      <w:fldChar w:fldCharType="begin"/>
    </w:r>
    <w:r w:rsidRPr="00F913C6">
      <w:rPr>
        <w:rStyle w:val="PageNumber"/>
        <w:b/>
        <w:color w:val="002060"/>
      </w:rPr>
      <w:instrText xml:space="preserve"> PAGE </w:instrText>
    </w:r>
    <w:r w:rsidRPr="00F913C6">
      <w:rPr>
        <w:rStyle w:val="PageNumber"/>
        <w:b/>
        <w:color w:val="002060"/>
      </w:rPr>
      <w:fldChar w:fldCharType="separate"/>
    </w:r>
    <w:r w:rsidR="00056931">
      <w:rPr>
        <w:rStyle w:val="PageNumber"/>
        <w:b/>
        <w:noProof/>
        <w:color w:val="002060"/>
      </w:rPr>
      <w:t>3</w:t>
    </w:r>
    <w:r w:rsidRPr="00F913C6">
      <w:rPr>
        <w:rStyle w:val="PageNumber"/>
        <w:b/>
        <w:color w:val="002060"/>
      </w:rPr>
      <w:fldChar w:fldCharType="end"/>
    </w:r>
    <w:r w:rsidRPr="00F913C6">
      <w:rPr>
        <w:rStyle w:val="PageNumber"/>
        <w:b/>
        <w:color w:val="002060"/>
      </w:rPr>
      <w:t xml:space="preserve"> / </w:t>
    </w:r>
    <w:r w:rsidRPr="00F913C6">
      <w:rPr>
        <w:rStyle w:val="PageNumber"/>
        <w:b/>
        <w:color w:val="002060"/>
      </w:rPr>
      <w:fldChar w:fldCharType="begin"/>
    </w:r>
    <w:r w:rsidRPr="00F913C6">
      <w:rPr>
        <w:rStyle w:val="PageNumber"/>
        <w:b/>
        <w:color w:val="002060"/>
      </w:rPr>
      <w:instrText xml:space="preserve"> NUMPAGES </w:instrText>
    </w:r>
    <w:r w:rsidRPr="00F913C6">
      <w:rPr>
        <w:rStyle w:val="PageNumber"/>
        <w:b/>
        <w:color w:val="002060"/>
      </w:rPr>
      <w:fldChar w:fldCharType="separate"/>
    </w:r>
    <w:r w:rsidR="00056931">
      <w:rPr>
        <w:rStyle w:val="PageNumber"/>
        <w:b/>
        <w:noProof/>
        <w:color w:val="002060"/>
      </w:rPr>
      <w:t>3</w:t>
    </w:r>
    <w:r w:rsidRPr="00F913C6">
      <w:rPr>
        <w:rStyle w:val="PageNumber"/>
        <w:b/>
        <w:color w:val="002060"/>
      </w:rPr>
      <w:fldChar w:fldCharType="end"/>
    </w:r>
  </w:p>
  <w:p w14:paraId="70B807A7" w14:textId="77777777" w:rsidR="00701301" w:rsidRPr="00F913C6" w:rsidRDefault="00701301" w:rsidP="00C516E7">
    <w:pPr>
      <w:pStyle w:val="Footer"/>
      <w:ind w:right="360"/>
      <w:rPr>
        <w:b/>
        <w:color w:val="002060"/>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BD3EB" w14:textId="77777777" w:rsidR="00A15C06" w:rsidRPr="00F913C6" w:rsidRDefault="00A15C06" w:rsidP="00A15C06">
    <w:pPr>
      <w:pStyle w:val="Footer"/>
      <w:framePr w:wrap="around" w:vAnchor="text" w:hAnchor="margin" w:xAlign="right" w:y="1"/>
      <w:rPr>
        <w:rStyle w:val="PageNumber"/>
        <w:b/>
        <w:color w:val="002060"/>
      </w:rPr>
    </w:pPr>
    <w:r w:rsidRPr="00F913C6">
      <w:rPr>
        <w:rStyle w:val="PageNumber"/>
        <w:b/>
        <w:color w:val="002060"/>
      </w:rPr>
      <w:fldChar w:fldCharType="begin"/>
    </w:r>
    <w:r w:rsidRPr="00F913C6">
      <w:rPr>
        <w:rStyle w:val="PageNumber"/>
        <w:b/>
        <w:color w:val="002060"/>
      </w:rPr>
      <w:instrText xml:space="preserve"> PAGE </w:instrText>
    </w:r>
    <w:r w:rsidRPr="00F913C6">
      <w:rPr>
        <w:rStyle w:val="PageNumber"/>
        <w:b/>
        <w:color w:val="002060"/>
      </w:rPr>
      <w:fldChar w:fldCharType="separate"/>
    </w:r>
    <w:r w:rsidR="00056931">
      <w:rPr>
        <w:rStyle w:val="PageNumber"/>
        <w:b/>
        <w:noProof/>
        <w:color w:val="002060"/>
      </w:rPr>
      <w:t>1</w:t>
    </w:r>
    <w:r w:rsidRPr="00F913C6">
      <w:rPr>
        <w:rStyle w:val="PageNumber"/>
        <w:b/>
        <w:color w:val="002060"/>
      </w:rPr>
      <w:fldChar w:fldCharType="end"/>
    </w:r>
    <w:r w:rsidRPr="00F913C6">
      <w:rPr>
        <w:rStyle w:val="PageNumber"/>
        <w:b/>
        <w:color w:val="002060"/>
      </w:rPr>
      <w:t xml:space="preserve"> / </w:t>
    </w:r>
    <w:r w:rsidRPr="00F913C6">
      <w:rPr>
        <w:rStyle w:val="PageNumber"/>
        <w:b/>
        <w:color w:val="002060"/>
      </w:rPr>
      <w:fldChar w:fldCharType="begin"/>
    </w:r>
    <w:r w:rsidRPr="00F913C6">
      <w:rPr>
        <w:rStyle w:val="PageNumber"/>
        <w:b/>
        <w:color w:val="002060"/>
      </w:rPr>
      <w:instrText xml:space="preserve"> NUMPAGES </w:instrText>
    </w:r>
    <w:r w:rsidRPr="00F913C6">
      <w:rPr>
        <w:rStyle w:val="PageNumber"/>
        <w:b/>
        <w:color w:val="002060"/>
      </w:rPr>
      <w:fldChar w:fldCharType="separate"/>
    </w:r>
    <w:r w:rsidR="00056931">
      <w:rPr>
        <w:rStyle w:val="PageNumber"/>
        <w:b/>
        <w:noProof/>
        <w:color w:val="002060"/>
      </w:rPr>
      <w:t>3</w:t>
    </w:r>
    <w:r w:rsidRPr="00F913C6">
      <w:rPr>
        <w:rStyle w:val="PageNumber"/>
        <w:b/>
        <w:color w:val="002060"/>
      </w:rPr>
      <w:fldChar w:fldCharType="end"/>
    </w:r>
  </w:p>
  <w:p w14:paraId="288DCACC" w14:textId="77777777" w:rsidR="00A15C06" w:rsidRDefault="00A15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240C3" w14:textId="77777777" w:rsidR="00646576" w:rsidRDefault="00646576">
      <w:r>
        <w:separator/>
      </w:r>
    </w:p>
  </w:footnote>
  <w:footnote w:type="continuationSeparator" w:id="0">
    <w:p w14:paraId="1BE48C93" w14:textId="77777777" w:rsidR="00646576" w:rsidRDefault="00646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FE74" w14:textId="77777777" w:rsidR="00A15C06" w:rsidRDefault="00E63284" w:rsidP="00E63284">
    <w:pPr>
      <w:pStyle w:val="Header"/>
      <w:ind w:left="-142"/>
    </w:pPr>
    <w:r>
      <w:rPr>
        <w:noProof/>
      </w:rPr>
      <w:drawing>
        <wp:inline distT="0" distB="0" distL="0" distR="0" wp14:anchorId="2BEDD3FF" wp14:editId="5DEA9FB9">
          <wp:extent cx="2599200" cy="864000"/>
          <wp:effectExtent l="0" t="0" r="0" b="0"/>
          <wp:docPr id="4" name="Picture 4"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p w14:paraId="07346955" w14:textId="77777777" w:rsidR="00A15C06" w:rsidRDefault="00A15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7FA7"/>
    <w:multiLevelType w:val="hybridMultilevel"/>
    <w:tmpl w:val="05C82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306CD"/>
    <w:multiLevelType w:val="hybridMultilevel"/>
    <w:tmpl w:val="237CC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0B6F9D"/>
    <w:multiLevelType w:val="hybridMultilevel"/>
    <w:tmpl w:val="33C8F2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F415DE8"/>
    <w:multiLevelType w:val="hybridMultilevel"/>
    <w:tmpl w:val="B9B01F96"/>
    <w:lvl w:ilvl="0" w:tplc="16644058">
      <w:start w:val="1"/>
      <w:numFmt w:val="bullet"/>
      <w:lvlText w:val=""/>
      <w:lvlJc w:val="left"/>
      <w:pPr>
        <w:tabs>
          <w:tab w:val="num" w:pos="363"/>
        </w:tabs>
        <w:ind w:left="363" w:hanging="363"/>
      </w:pPr>
      <w:rPr>
        <w:rFonts w:ascii="Symbol" w:hAnsi="Symbol" w:hint="default"/>
        <w:sz w:val="22"/>
        <w:szCs w:val="22"/>
      </w:rPr>
    </w:lvl>
    <w:lvl w:ilvl="1" w:tplc="73AE5CBE">
      <w:start w:val="1"/>
      <w:numFmt w:val="bullet"/>
      <w:lvlText w:val=""/>
      <w:lvlJc w:val="left"/>
      <w:pPr>
        <w:tabs>
          <w:tab w:val="num" w:pos="1440"/>
        </w:tabs>
        <w:ind w:left="1440" w:hanging="360"/>
      </w:pPr>
      <w:rPr>
        <w:rFonts w:ascii="Symbol" w:hAnsi="Symbol" w:hint="default"/>
        <w:sz w:val="22"/>
        <w:szCs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82230"/>
    <w:multiLevelType w:val="hybridMultilevel"/>
    <w:tmpl w:val="A88EE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50A59"/>
    <w:multiLevelType w:val="hybridMultilevel"/>
    <w:tmpl w:val="2C74E050"/>
    <w:lvl w:ilvl="0" w:tplc="04090001">
      <w:start w:val="1"/>
      <w:numFmt w:val="bullet"/>
      <w:lvlText w:val=""/>
      <w:lvlJc w:val="left"/>
      <w:pPr>
        <w:tabs>
          <w:tab w:val="num" w:pos="720"/>
        </w:tabs>
        <w:ind w:left="720" w:hanging="360"/>
      </w:pPr>
      <w:rPr>
        <w:rFonts w:ascii="Symbol" w:hAnsi="Symbol" w:hint="default"/>
      </w:rPr>
    </w:lvl>
    <w:lvl w:ilvl="1" w:tplc="BB9AB220">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90F82"/>
    <w:multiLevelType w:val="hybridMultilevel"/>
    <w:tmpl w:val="55DA1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E0A01"/>
    <w:multiLevelType w:val="hybridMultilevel"/>
    <w:tmpl w:val="E1F07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6777A"/>
    <w:multiLevelType w:val="hybridMultilevel"/>
    <w:tmpl w:val="86585124"/>
    <w:lvl w:ilvl="0" w:tplc="0409000F">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89407A"/>
    <w:multiLevelType w:val="hybridMultilevel"/>
    <w:tmpl w:val="944A5A82"/>
    <w:lvl w:ilvl="0" w:tplc="16644058">
      <w:start w:val="1"/>
      <w:numFmt w:val="bullet"/>
      <w:lvlText w:val=""/>
      <w:lvlJc w:val="left"/>
      <w:pPr>
        <w:tabs>
          <w:tab w:val="num" w:pos="363"/>
        </w:tabs>
        <w:ind w:left="363" w:hanging="363"/>
      </w:pPr>
      <w:rPr>
        <w:rFonts w:ascii="Symbol" w:hAnsi="Symbol" w:hint="default"/>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62145"/>
    <w:multiLevelType w:val="hybridMultilevel"/>
    <w:tmpl w:val="3D74FAD4"/>
    <w:lvl w:ilvl="0" w:tplc="CE54F69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7B740D"/>
    <w:multiLevelType w:val="hybridMultilevel"/>
    <w:tmpl w:val="14569C8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1282FD4"/>
    <w:multiLevelType w:val="multilevel"/>
    <w:tmpl w:val="83EA44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2C8077F"/>
    <w:multiLevelType w:val="hybridMultilevel"/>
    <w:tmpl w:val="9DBE0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F1650C"/>
    <w:multiLevelType w:val="hybridMultilevel"/>
    <w:tmpl w:val="FD0EB9B4"/>
    <w:lvl w:ilvl="0" w:tplc="1E0AD5F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C747A1"/>
    <w:multiLevelType w:val="hybridMultilevel"/>
    <w:tmpl w:val="81E21C5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DC403A"/>
    <w:multiLevelType w:val="hybridMultilevel"/>
    <w:tmpl w:val="75CC7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8900DD"/>
    <w:multiLevelType w:val="hybridMultilevel"/>
    <w:tmpl w:val="01A6891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1C91EE0"/>
    <w:multiLevelType w:val="hybridMultilevel"/>
    <w:tmpl w:val="74D6D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50A6ED4"/>
    <w:multiLevelType w:val="hybridMultilevel"/>
    <w:tmpl w:val="FBA0E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004F3F"/>
    <w:multiLevelType w:val="hybridMultilevel"/>
    <w:tmpl w:val="E0246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C86728"/>
    <w:multiLevelType w:val="hybridMultilevel"/>
    <w:tmpl w:val="7A22D4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81F1BC1"/>
    <w:multiLevelType w:val="hybridMultilevel"/>
    <w:tmpl w:val="D5CA46F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4FF7FBB"/>
    <w:multiLevelType w:val="hybridMultilevel"/>
    <w:tmpl w:val="E3D6048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5853213D"/>
    <w:multiLevelType w:val="hybridMultilevel"/>
    <w:tmpl w:val="D1A67E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472481"/>
    <w:multiLevelType w:val="hybridMultilevel"/>
    <w:tmpl w:val="214A8D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171EE"/>
    <w:multiLevelType w:val="hybridMultilevel"/>
    <w:tmpl w:val="30F2F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0860B2"/>
    <w:multiLevelType w:val="hybridMultilevel"/>
    <w:tmpl w:val="C8226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4039D1"/>
    <w:multiLevelType w:val="hybridMultilevel"/>
    <w:tmpl w:val="A0DCB5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541A49"/>
    <w:multiLevelType w:val="hybridMultilevel"/>
    <w:tmpl w:val="519C2688"/>
    <w:lvl w:ilvl="0" w:tplc="04090001">
      <w:start w:val="1"/>
      <w:numFmt w:val="bullet"/>
      <w:lvlText w:val=""/>
      <w:lvlJc w:val="left"/>
      <w:pPr>
        <w:tabs>
          <w:tab w:val="num" w:pos="420"/>
        </w:tabs>
        <w:ind w:left="420" w:hanging="360"/>
      </w:pPr>
      <w:rPr>
        <w:rFonts w:ascii="Symbol" w:hAnsi="Symbol" w:hint="default"/>
      </w:rPr>
    </w:lvl>
    <w:lvl w:ilvl="1" w:tplc="12349358">
      <w:start w:val="3"/>
      <w:numFmt w:val="bullet"/>
      <w:lvlText w:val="-"/>
      <w:lvlJc w:val="left"/>
      <w:pPr>
        <w:tabs>
          <w:tab w:val="num" w:pos="1338"/>
        </w:tabs>
        <w:ind w:left="1338" w:hanging="198"/>
      </w:pPr>
      <w:rPr>
        <w:rFonts w:ascii="Arial Narrow" w:eastAsia="Times New Roman" w:hAnsi="Arial Narro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615A7DD9"/>
    <w:multiLevelType w:val="hybridMultilevel"/>
    <w:tmpl w:val="68B41CA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184492E"/>
    <w:multiLevelType w:val="hybridMultilevel"/>
    <w:tmpl w:val="5CAA4434"/>
    <w:lvl w:ilvl="0" w:tplc="CE54F69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227E13"/>
    <w:multiLevelType w:val="hybridMultilevel"/>
    <w:tmpl w:val="58483E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606029"/>
    <w:multiLevelType w:val="hybridMultilevel"/>
    <w:tmpl w:val="B5B0B84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9AC4BAC"/>
    <w:multiLevelType w:val="hybridMultilevel"/>
    <w:tmpl w:val="9F38D070"/>
    <w:lvl w:ilvl="0" w:tplc="C63A5AB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DD00C98"/>
    <w:multiLevelType w:val="hybridMultilevel"/>
    <w:tmpl w:val="3370A84A"/>
    <w:lvl w:ilvl="0" w:tplc="EB0A5C5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AA5168"/>
    <w:multiLevelType w:val="hybridMultilevel"/>
    <w:tmpl w:val="B642B0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6F7941B3"/>
    <w:multiLevelType w:val="hybridMultilevel"/>
    <w:tmpl w:val="6EA04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410D6A"/>
    <w:multiLevelType w:val="hybridMultilevel"/>
    <w:tmpl w:val="43241C78"/>
    <w:lvl w:ilvl="0" w:tplc="5DF88DF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A3305A"/>
    <w:multiLevelType w:val="hybridMultilevel"/>
    <w:tmpl w:val="69E4D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B4009EC"/>
    <w:multiLevelType w:val="hybridMultilevel"/>
    <w:tmpl w:val="F6EC52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9"/>
  </w:num>
  <w:num w:numId="3">
    <w:abstractNumId w:val="3"/>
  </w:num>
  <w:num w:numId="4">
    <w:abstractNumId w:val="20"/>
  </w:num>
  <w:num w:numId="5">
    <w:abstractNumId w:val="0"/>
  </w:num>
  <w:num w:numId="6">
    <w:abstractNumId w:val="23"/>
  </w:num>
  <w:num w:numId="7">
    <w:abstractNumId w:val="28"/>
  </w:num>
  <w:num w:numId="8">
    <w:abstractNumId w:val="6"/>
  </w:num>
  <w:num w:numId="9">
    <w:abstractNumId w:val="19"/>
  </w:num>
  <w:num w:numId="10">
    <w:abstractNumId w:val="8"/>
  </w:num>
  <w:num w:numId="11">
    <w:abstractNumId w:val="33"/>
  </w:num>
  <w:num w:numId="12">
    <w:abstractNumId w:val="7"/>
  </w:num>
  <w:num w:numId="13">
    <w:abstractNumId w:val="22"/>
  </w:num>
  <w:num w:numId="14">
    <w:abstractNumId w:val="36"/>
  </w:num>
  <w:num w:numId="15">
    <w:abstractNumId w:val="11"/>
  </w:num>
  <w:num w:numId="16">
    <w:abstractNumId w:val="4"/>
  </w:num>
  <w:num w:numId="17">
    <w:abstractNumId w:val="40"/>
  </w:num>
  <w:num w:numId="18">
    <w:abstractNumId w:val="32"/>
  </w:num>
  <w:num w:numId="19">
    <w:abstractNumId w:val="37"/>
  </w:num>
  <w:num w:numId="20">
    <w:abstractNumId w:val="5"/>
  </w:num>
  <w:num w:numId="21">
    <w:abstractNumId w:val="25"/>
  </w:num>
  <w:num w:numId="22">
    <w:abstractNumId w:val="17"/>
  </w:num>
  <w:num w:numId="23">
    <w:abstractNumId w:val="30"/>
  </w:num>
  <w:num w:numId="24">
    <w:abstractNumId w:val="15"/>
  </w:num>
  <w:num w:numId="25">
    <w:abstractNumId w:val="10"/>
  </w:num>
  <w:num w:numId="26">
    <w:abstractNumId w:val="27"/>
  </w:num>
  <w:num w:numId="27">
    <w:abstractNumId w:val="31"/>
  </w:num>
  <w:num w:numId="28">
    <w:abstractNumId w:val="16"/>
  </w:num>
  <w:num w:numId="29">
    <w:abstractNumId w:val="34"/>
  </w:num>
  <w:num w:numId="30">
    <w:abstractNumId w:val="1"/>
  </w:num>
  <w:num w:numId="31">
    <w:abstractNumId w:val="39"/>
  </w:num>
  <w:num w:numId="32">
    <w:abstractNumId w:val="21"/>
  </w:num>
  <w:num w:numId="33">
    <w:abstractNumId w:val="13"/>
  </w:num>
  <w:num w:numId="34">
    <w:abstractNumId w:val="12"/>
  </w:num>
  <w:num w:numId="35">
    <w:abstractNumId w:val="24"/>
  </w:num>
  <w:num w:numId="36">
    <w:abstractNumId w:val="26"/>
  </w:num>
  <w:num w:numId="37">
    <w:abstractNumId w:val="18"/>
  </w:num>
  <w:num w:numId="38">
    <w:abstractNumId w:val="2"/>
  </w:num>
  <w:num w:numId="39">
    <w:abstractNumId w:val="14"/>
  </w:num>
  <w:num w:numId="40">
    <w:abstractNumId w:val="35"/>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5C"/>
    <w:rsid w:val="000046B3"/>
    <w:rsid w:val="00004913"/>
    <w:rsid w:val="00005DD8"/>
    <w:rsid w:val="0000641F"/>
    <w:rsid w:val="000126D9"/>
    <w:rsid w:val="00012D18"/>
    <w:rsid w:val="00016361"/>
    <w:rsid w:val="00016583"/>
    <w:rsid w:val="00016F04"/>
    <w:rsid w:val="0002183E"/>
    <w:rsid w:val="000220DF"/>
    <w:rsid w:val="0002583D"/>
    <w:rsid w:val="00030C5E"/>
    <w:rsid w:val="00031A9B"/>
    <w:rsid w:val="00036C54"/>
    <w:rsid w:val="00037F57"/>
    <w:rsid w:val="000405F5"/>
    <w:rsid w:val="000423AC"/>
    <w:rsid w:val="00042BA4"/>
    <w:rsid w:val="00043944"/>
    <w:rsid w:val="00044472"/>
    <w:rsid w:val="00044D5C"/>
    <w:rsid w:val="000479C4"/>
    <w:rsid w:val="00053442"/>
    <w:rsid w:val="00053EC3"/>
    <w:rsid w:val="000554F8"/>
    <w:rsid w:val="00056931"/>
    <w:rsid w:val="00057F1F"/>
    <w:rsid w:val="00061206"/>
    <w:rsid w:val="00061314"/>
    <w:rsid w:val="0006466A"/>
    <w:rsid w:val="000646E4"/>
    <w:rsid w:val="00067F35"/>
    <w:rsid w:val="0007048D"/>
    <w:rsid w:val="00070A41"/>
    <w:rsid w:val="00071FDF"/>
    <w:rsid w:val="00072E38"/>
    <w:rsid w:val="00073E2E"/>
    <w:rsid w:val="00075A61"/>
    <w:rsid w:val="000800B1"/>
    <w:rsid w:val="0008151B"/>
    <w:rsid w:val="0008163B"/>
    <w:rsid w:val="000847BD"/>
    <w:rsid w:val="00085F6C"/>
    <w:rsid w:val="00090084"/>
    <w:rsid w:val="00090470"/>
    <w:rsid w:val="00092344"/>
    <w:rsid w:val="00097FB1"/>
    <w:rsid w:val="000A096E"/>
    <w:rsid w:val="000A6B40"/>
    <w:rsid w:val="000A7A0D"/>
    <w:rsid w:val="000B12CF"/>
    <w:rsid w:val="000B2AFB"/>
    <w:rsid w:val="000B42DC"/>
    <w:rsid w:val="000B4F9F"/>
    <w:rsid w:val="000B538E"/>
    <w:rsid w:val="000B5E95"/>
    <w:rsid w:val="000B750F"/>
    <w:rsid w:val="000C09FF"/>
    <w:rsid w:val="000C10A0"/>
    <w:rsid w:val="000C4971"/>
    <w:rsid w:val="000D0732"/>
    <w:rsid w:val="000D2C48"/>
    <w:rsid w:val="000D3C86"/>
    <w:rsid w:val="000D6C66"/>
    <w:rsid w:val="000E1D3A"/>
    <w:rsid w:val="000E1EAC"/>
    <w:rsid w:val="000E3123"/>
    <w:rsid w:val="000E45FB"/>
    <w:rsid w:val="000E5326"/>
    <w:rsid w:val="000E6825"/>
    <w:rsid w:val="000E719D"/>
    <w:rsid w:val="000E77AD"/>
    <w:rsid w:val="000F07AC"/>
    <w:rsid w:val="000F23B2"/>
    <w:rsid w:val="000F33BF"/>
    <w:rsid w:val="000F5F63"/>
    <w:rsid w:val="000F7D47"/>
    <w:rsid w:val="00100535"/>
    <w:rsid w:val="001017B2"/>
    <w:rsid w:val="00102E0B"/>
    <w:rsid w:val="001062A1"/>
    <w:rsid w:val="001146F7"/>
    <w:rsid w:val="0011636D"/>
    <w:rsid w:val="00116672"/>
    <w:rsid w:val="001201D3"/>
    <w:rsid w:val="00122BF6"/>
    <w:rsid w:val="00123570"/>
    <w:rsid w:val="00123BAF"/>
    <w:rsid w:val="00132CEF"/>
    <w:rsid w:val="00133BA5"/>
    <w:rsid w:val="001415B1"/>
    <w:rsid w:val="001436AE"/>
    <w:rsid w:val="0014792F"/>
    <w:rsid w:val="0015126D"/>
    <w:rsid w:val="00153A79"/>
    <w:rsid w:val="00161F25"/>
    <w:rsid w:val="00163422"/>
    <w:rsid w:val="00163975"/>
    <w:rsid w:val="00163E01"/>
    <w:rsid w:val="00164584"/>
    <w:rsid w:val="001648E6"/>
    <w:rsid w:val="00171D16"/>
    <w:rsid w:val="00173190"/>
    <w:rsid w:val="00176249"/>
    <w:rsid w:val="00176539"/>
    <w:rsid w:val="0017748C"/>
    <w:rsid w:val="00180273"/>
    <w:rsid w:val="001804D7"/>
    <w:rsid w:val="0018051F"/>
    <w:rsid w:val="00180A17"/>
    <w:rsid w:val="0018180F"/>
    <w:rsid w:val="001828F0"/>
    <w:rsid w:val="001835AB"/>
    <w:rsid w:val="00183F41"/>
    <w:rsid w:val="001847F8"/>
    <w:rsid w:val="00184D2F"/>
    <w:rsid w:val="00185346"/>
    <w:rsid w:val="0018591C"/>
    <w:rsid w:val="00191163"/>
    <w:rsid w:val="001927DC"/>
    <w:rsid w:val="00193477"/>
    <w:rsid w:val="00194E14"/>
    <w:rsid w:val="0019530E"/>
    <w:rsid w:val="001A035A"/>
    <w:rsid w:val="001A106D"/>
    <w:rsid w:val="001B098F"/>
    <w:rsid w:val="001B1E67"/>
    <w:rsid w:val="001B4B50"/>
    <w:rsid w:val="001B4B89"/>
    <w:rsid w:val="001B72CD"/>
    <w:rsid w:val="001C021B"/>
    <w:rsid w:val="001C129A"/>
    <w:rsid w:val="001C21A2"/>
    <w:rsid w:val="001C2C44"/>
    <w:rsid w:val="001C519F"/>
    <w:rsid w:val="001C5450"/>
    <w:rsid w:val="001C6EB8"/>
    <w:rsid w:val="001C7564"/>
    <w:rsid w:val="001D2651"/>
    <w:rsid w:val="001D3545"/>
    <w:rsid w:val="001D3E9B"/>
    <w:rsid w:val="001D40AA"/>
    <w:rsid w:val="001D5360"/>
    <w:rsid w:val="001D64DD"/>
    <w:rsid w:val="001D7A53"/>
    <w:rsid w:val="001E01D5"/>
    <w:rsid w:val="001E0CE0"/>
    <w:rsid w:val="001E17C6"/>
    <w:rsid w:val="001E2479"/>
    <w:rsid w:val="001E2E5C"/>
    <w:rsid w:val="001E51AC"/>
    <w:rsid w:val="001E7F4A"/>
    <w:rsid w:val="001F3793"/>
    <w:rsid w:val="001F3A9C"/>
    <w:rsid w:val="00200775"/>
    <w:rsid w:val="00202855"/>
    <w:rsid w:val="0021014A"/>
    <w:rsid w:val="00210D6E"/>
    <w:rsid w:val="00211ECC"/>
    <w:rsid w:val="00212015"/>
    <w:rsid w:val="002120BE"/>
    <w:rsid w:val="002136DB"/>
    <w:rsid w:val="00213ED2"/>
    <w:rsid w:val="0021506B"/>
    <w:rsid w:val="002234C1"/>
    <w:rsid w:val="00224138"/>
    <w:rsid w:val="0022597A"/>
    <w:rsid w:val="00226E19"/>
    <w:rsid w:val="002310A6"/>
    <w:rsid w:val="00231B13"/>
    <w:rsid w:val="00237CF2"/>
    <w:rsid w:val="002412E3"/>
    <w:rsid w:val="0024137B"/>
    <w:rsid w:val="00242584"/>
    <w:rsid w:val="002425C5"/>
    <w:rsid w:val="00243DD2"/>
    <w:rsid w:val="0025044D"/>
    <w:rsid w:val="00251AC9"/>
    <w:rsid w:val="00253B62"/>
    <w:rsid w:val="00255404"/>
    <w:rsid w:val="0026008B"/>
    <w:rsid w:val="002600BA"/>
    <w:rsid w:val="00260300"/>
    <w:rsid w:val="0026164A"/>
    <w:rsid w:val="002651FE"/>
    <w:rsid w:val="00266D28"/>
    <w:rsid w:val="002674FD"/>
    <w:rsid w:val="00270432"/>
    <w:rsid w:val="00270EAC"/>
    <w:rsid w:val="00272DB2"/>
    <w:rsid w:val="00273EF9"/>
    <w:rsid w:val="00274F39"/>
    <w:rsid w:val="00275C71"/>
    <w:rsid w:val="002772E0"/>
    <w:rsid w:val="00280857"/>
    <w:rsid w:val="002823C0"/>
    <w:rsid w:val="00284248"/>
    <w:rsid w:val="00285890"/>
    <w:rsid w:val="00287680"/>
    <w:rsid w:val="00287963"/>
    <w:rsid w:val="0029444F"/>
    <w:rsid w:val="00296627"/>
    <w:rsid w:val="002A1D1D"/>
    <w:rsid w:val="002A61EB"/>
    <w:rsid w:val="002A7C4B"/>
    <w:rsid w:val="002B0B47"/>
    <w:rsid w:val="002B2436"/>
    <w:rsid w:val="002B2E4F"/>
    <w:rsid w:val="002B7DDC"/>
    <w:rsid w:val="002C1D67"/>
    <w:rsid w:val="002D06CF"/>
    <w:rsid w:val="002D2E67"/>
    <w:rsid w:val="002D3EB4"/>
    <w:rsid w:val="002D5B8B"/>
    <w:rsid w:val="002D7005"/>
    <w:rsid w:val="002D7AB1"/>
    <w:rsid w:val="002D7FA3"/>
    <w:rsid w:val="002E0E07"/>
    <w:rsid w:val="002E4ACF"/>
    <w:rsid w:val="002E7611"/>
    <w:rsid w:val="002E7DC5"/>
    <w:rsid w:val="002F0131"/>
    <w:rsid w:val="002F6451"/>
    <w:rsid w:val="002F7A18"/>
    <w:rsid w:val="003007BF"/>
    <w:rsid w:val="00301392"/>
    <w:rsid w:val="003028FE"/>
    <w:rsid w:val="00303C57"/>
    <w:rsid w:val="00303CFE"/>
    <w:rsid w:val="00313001"/>
    <w:rsid w:val="00313F4D"/>
    <w:rsid w:val="003141A7"/>
    <w:rsid w:val="00315B7B"/>
    <w:rsid w:val="00320D92"/>
    <w:rsid w:val="003213CE"/>
    <w:rsid w:val="00323D71"/>
    <w:rsid w:val="00323D98"/>
    <w:rsid w:val="00330E63"/>
    <w:rsid w:val="00332D31"/>
    <w:rsid w:val="0033479A"/>
    <w:rsid w:val="00337804"/>
    <w:rsid w:val="00343959"/>
    <w:rsid w:val="00344EA6"/>
    <w:rsid w:val="0034560E"/>
    <w:rsid w:val="00345D0E"/>
    <w:rsid w:val="003528E2"/>
    <w:rsid w:val="00352DFA"/>
    <w:rsid w:val="00354218"/>
    <w:rsid w:val="00354B78"/>
    <w:rsid w:val="00354BEE"/>
    <w:rsid w:val="003565A3"/>
    <w:rsid w:val="00364BAA"/>
    <w:rsid w:val="00364BB5"/>
    <w:rsid w:val="00364D8D"/>
    <w:rsid w:val="00370665"/>
    <w:rsid w:val="00371BD5"/>
    <w:rsid w:val="00371DA3"/>
    <w:rsid w:val="00372276"/>
    <w:rsid w:val="00374301"/>
    <w:rsid w:val="00376517"/>
    <w:rsid w:val="003765E2"/>
    <w:rsid w:val="00380373"/>
    <w:rsid w:val="00381E18"/>
    <w:rsid w:val="0039093C"/>
    <w:rsid w:val="0039302B"/>
    <w:rsid w:val="0039347D"/>
    <w:rsid w:val="00394238"/>
    <w:rsid w:val="00397A87"/>
    <w:rsid w:val="003A2B9A"/>
    <w:rsid w:val="003A49CE"/>
    <w:rsid w:val="003A551E"/>
    <w:rsid w:val="003A62B4"/>
    <w:rsid w:val="003A6486"/>
    <w:rsid w:val="003B215C"/>
    <w:rsid w:val="003B3524"/>
    <w:rsid w:val="003B5418"/>
    <w:rsid w:val="003B7BB3"/>
    <w:rsid w:val="003C0ABD"/>
    <w:rsid w:val="003C0FF1"/>
    <w:rsid w:val="003C3DDB"/>
    <w:rsid w:val="003C64F1"/>
    <w:rsid w:val="003C6B01"/>
    <w:rsid w:val="003D0B4B"/>
    <w:rsid w:val="003D5A3F"/>
    <w:rsid w:val="003D611A"/>
    <w:rsid w:val="003E24AC"/>
    <w:rsid w:val="003E265A"/>
    <w:rsid w:val="003E2CA1"/>
    <w:rsid w:val="003E521E"/>
    <w:rsid w:val="003E632D"/>
    <w:rsid w:val="003E7252"/>
    <w:rsid w:val="003E79B5"/>
    <w:rsid w:val="003F0F3B"/>
    <w:rsid w:val="003F11E2"/>
    <w:rsid w:val="003F1294"/>
    <w:rsid w:val="003F147F"/>
    <w:rsid w:val="003F2A53"/>
    <w:rsid w:val="003F34D4"/>
    <w:rsid w:val="00401C05"/>
    <w:rsid w:val="00402267"/>
    <w:rsid w:val="00405907"/>
    <w:rsid w:val="00410CCA"/>
    <w:rsid w:val="0041151B"/>
    <w:rsid w:val="004117D9"/>
    <w:rsid w:val="00413A01"/>
    <w:rsid w:val="00415F05"/>
    <w:rsid w:val="00416F1D"/>
    <w:rsid w:val="00417504"/>
    <w:rsid w:val="004179FA"/>
    <w:rsid w:val="00421579"/>
    <w:rsid w:val="00421CD7"/>
    <w:rsid w:val="00423794"/>
    <w:rsid w:val="00425CB9"/>
    <w:rsid w:val="0042675F"/>
    <w:rsid w:val="004273F3"/>
    <w:rsid w:val="004309DA"/>
    <w:rsid w:val="00431510"/>
    <w:rsid w:val="004320B4"/>
    <w:rsid w:val="00432105"/>
    <w:rsid w:val="004322F9"/>
    <w:rsid w:val="004406BA"/>
    <w:rsid w:val="00450E52"/>
    <w:rsid w:val="004540C6"/>
    <w:rsid w:val="00454539"/>
    <w:rsid w:val="004560E5"/>
    <w:rsid w:val="00460FED"/>
    <w:rsid w:val="00464D76"/>
    <w:rsid w:val="0047033D"/>
    <w:rsid w:val="00471613"/>
    <w:rsid w:val="004718A1"/>
    <w:rsid w:val="00471BB6"/>
    <w:rsid w:val="004766BB"/>
    <w:rsid w:val="00484807"/>
    <w:rsid w:val="00484B65"/>
    <w:rsid w:val="00485D1C"/>
    <w:rsid w:val="0048640C"/>
    <w:rsid w:val="004865C4"/>
    <w:rsid w:val="00487DE2"/>
    <w:rsid w:val="00490848"/>
    <w:rsid w:val="00492E52"/>
    <w:rsid w:val="00493288"/>
    <w:rsid w:val="00494535"/>
    <w:rsid w:val="004A130C"/>
    <w:rsid w:val="004A1D56"/>
    <w:rsid w:val="004A33CD"/>
    <w:rsid w:val="004A56C5"/>
    <w:rsid w:val="004A5906"/>
    <w:rsid w:val="004A6086"/>
    <w:rsid w:val="004B34BE"/>
    <w:rsid w:val="004B446B"/>
    <w:rsid w:val="004B5F2E"/>
    <w:rsid w:val="004C06E9"/>
    <w:rsid w:val="004C2B0C"/>
    <w:rsid w:val="004C438B"/>
    <w:rsid w:val="004C53CF"/>
    <w:rsid w:val="004C563E"/>
    <w:rsid w:val="004C6D4B"/>
    <w:rsid w:val="004C7B3D"/>
    <w:rsid w:val="004C7C14"/>
    <w:rsid w:val="004D6D1A"/>
    <w:rsid w:val="004D7675"/>
    <w:rsid w:val="004E183B"/>
    <w:rsid w:val="004E1A4E"/>
    <w:rsid w:val="004E7492"/>
    <w:rsid w:val="004E7DEE"/>
    <w:rsid w:val="004F0AFA"/>
    <w:rsid w:val="004F12D7"/>
    <w:rsid w:val="004F3E9F"/>
    <w:rsid w:val="004F432E"/>
    <w:rsid w:val="004F5F98"/>
    <w:rsid w:val="005011A9"/>
    <w:rsid w:val="005071F4"/>
    <w:rsid w:val="00510EE6"/>
    <w:rsid w:val="00512435"/>
    <w:rsid w:val="005131E4"/>
    <w:rsid w:val="00513388"/>
    <w:rsid w:val="005159F8"/>
    <w:rsid w:val="005229FD"/>
    <w:rsid w:val="0052383C"/>
    <w:rsid w:val="00523D28"/>
    <w:rsid w:val="005256D7"/>
    <w:rsid w:val="00532541"/>
    <w:rsid w:val="00534BD1"/>
    <w:rsid w:val="00537037"/>
    <w:rsid w:val="00537758"/>
    <w:rsid w:val="00540CE2"/>
    <w:rsid w:val="00543F8B"/>
    <w:rsid w:val="00545593"/>
    <w:rsid w:val="00545B92"/>
    <w:rsid w:val="00547BD5"/>
    <w:rsid w:val="00547BD7"/>
    <w:rsid w:val="00552A25"/>
    <w:rsid w:val="00553961"/>
    <w:rsid w:val="00561315"/>
    <w:rsid w:val="00565E66"/>
    <w:rsid w:val="00570DBE"/>
    <w:rsid w:val="0057143E"/>
    <w:rsid w:val="00571FD6"/>
    <w:rsid w:val="0057314D"/>
    <w:rsid w:val="00574AE5"/>
    <w:rsid w:val="0057656E"/>
    <w:rsid w:val="00581EF9"/>
    <w:rsid w:val="00581F1F"/>
    <w:rsid w:val="00582C26"/>
    <w:rsid w:val="00582C3D"/>
    <w:rsid w:val="005856F5"/>
    <w:rsid w:val="0058735B"/>
    <w:rsid w:val="00590055"/>
    <w:rsid w:val="005919C0"/>
    <w:rsid w:val="00592995"/>
    <w:rsid w:val="005945B1"/>
    <w:rsid w:val="00595B1D"/>
    <w:rsid w:val="005A025C"/>
    <w:rsid w:val="005A354C"/>
    <w:rsid w:val="005A36BC"/>
    <w:rsid w:val="005A3E0D"/>
    <w:rsid w:val="005A48DB"/>
    <w:rsid w:val="005A597E"/>
    <w:rsid w:val="005B4A21"/>
    <w:rsid w:val="005B5C05"/>
    <w:rsid w:val="005C0EF3"/>
    <w:rsid w:val="005C11D6"/>
    <w:rsid w:val="005C1771"/>
    <w:rsid w:val="005C2656"/>
    <w:rsid w:val="005C2AB5"/>
    <w:rsid w:val="005C2E40"/>
    <w:rsid w:val="005C3E7D"/>
    <w:rsid w:val="005C470E"/>
    <w:rsid w:val="005C505F"/>
    <w:rsid w:val="005C538A"/>
    <w:rsid w:val="005C55A3"/>
    <w:rsid w:val="005D04EF"/>
    <w:rsid w:val="005D1F71"/>
    <w:rsid w:val="005E0639"/>
    <w:rsid w:val="005E1194"/>
    <w:rsid w:val="005E1972"/>
    <w:rsid w:val="005E1B50"/>
    <w:rsid w:val="005E242E"/>
    <w:rsid w:val="005E2E62"/>
    <w:rsid w:val="005E48B1"/>
    <w:rsid w:val="005E5A89"/>
    <w:rsid w:val="005E65C1"/>
    <w:rsid w:val="005F0B61"/>
    <w:rsid w:val="005F1443"/>
    <w:rsid w:val="005F16AB"/>
    <w:rsid w:val="005F1D86"/>
    <w:rsid w:val="005F21B1"/>
    <w:rsid w:val="005F231F"/>
    <w:rsid w:val="006007DA"/>
    <w:rsid w:val="00603001"/>
    <w:rsid w:val="00603316"/>
    <w:rsid w:val="00603CE4"/>
    <w:rsid w:val="00607AC5"/>
    <w:rsid w:val="00610141"/>
    <w:rsid w:val="006102C1"/>
    <w:rsid w:val="00610733"/>
    <w:rsid w:val="00610CD9"/>
    <w:rsid w:val="006116FA"/>
    <w:rsid w:val="00611BEB"/>
    <w:rsid w:val="00615D94"/>
    <w:rsid w:val="006168C2"/>
    <w:rsid w:val="00620681"/>
    <w:rsid w:val="0062212A"/>
    <w:rsid w:val="00622CE9"/>
    <w:rsid w:val="00624D17"/>
    <w:rsid w:val="00625653"/>
    <w:rsid w:val="00625694"/>
    <w:rsid w:val="00626F20"/>
    <w:rsid w:val="00632F34"/>
    <w:rsid w:val="0064353B"/>
    <w:rsid w:val="00643BD7"/>
    <w:rsid w:val="006446B9"/>
    <w:rsid w:val="00646576"/>
    <w:rsid w:val="00652843"/>
    <w:rsid w:val="00661163"/>
    <w:rsid w:val="0066324C"/>
    <w:rsid w:val="006636FE"/>
    <w:rsid w:val="00666EA2"/>
    <w:rsid w:val="00672001"/>
    <w:rsid w:val="00674EE0"/>
    <w:rsid w:val="006758CD"/>
    <w:rsid w:val="00683D1D"/>
    <w:rsid w:val="00684A8D"/>
    <w:rsid w:val="00684E9D"/>
    <w:rsid w:val="0068728C"/>
    <w:rsid w:val="006876BC"/>
    <w:rsid w:val="0069515B"/>
    <w:rsid w:val="006955AB"/>
    <w:rsid w:val="00697D9C"/>
    <w:rsid w:val="006A15C7"/>
    <w:rsid w:val="006A2382"/>
    <w:rsid w:val="006A47E8"/>
    <w:rsid w:val="006A5F0B"/>
    <w:rsid w:val="006A6D86"/>
    <w:rsid w:val="006A7537"/>
    <w:rsid w:val="006B4AA3"/>
    <w:rsid w:val="006B5CC5"/>
    <w:rsid w:val="006B667A"/>
    <w:rsid w:val="006B7DA0"/>
    <w:rsid w:val="006C5437"/>
    <w:rsid w:val="006C5CAC"/>
    <w:rsid w:val="006D049C"/>
    <w:rsid w:val="006D24E2"/>
    <w:rsid w:val="006D2EF6"/>
    <w:rsid w:val="006D6EE0"/>
    <w:rsid w:val="006D7D53"/>
    <w:rsid w:val="006E20F9"/>
    <w:rsid w:val="006E2860"/>
    <w:rsid w:val="006E302B"/>
    <w:rsid w:val="006E3F25"/>
    <w:rsid w:val="006E48DE"/>
    <w:rsid w:val="006E6C30"/>
    <w:rsid w:val="006E7C5E"/>
    <w:rsid w:val="006E7F51"/>
    <w:rsid w:val="006F08E2"/>
    <w:rsid w:val="006F34CD"/>
    <w:rsid w:val="006F4147"/>
    <w:rsid w:val="006F5652"/>
    <w:rsid w:val="006F7903"/>
    <w:rsid w:val="00701301"/>
    <w:rsid w:val="00701DC7"/>
    <w:rsid w:val="0070347D"/>
    <w:rsid w:val="007050CD"/>
    <w:rsid w:val="007051BC"/>
    <w:rsid w:val="007056B6"/>
    <w:rsid w:val="007060CF"/>
    <w:rsid w:val="00707776"/>
    <w:rsid w:val="00710DEB"/>
    <w:rsid w:val="007116B8"/>
    <w:rsid w:val="00711C90"/>
    <w:rsid w:val="007123F2"/>
    <w:rsid w:val="00712634"/>
    <w:rsid w:val="00713C3C"/>
    <w:rsid w:val="00713E58"/>
    <w:rsid w:val="00716026"/>
    <w:rsid w:val="00717A66"/>
    <w:rsid w:val="00724F25"/>
    <w:rsid w:val="00731DEB"/>
    <w:rsid w:val="00732064"/>
    <w:rsid w:val="00733572"/>
    <w:rsid w:val="0073516C"/>
    <w:rsid w:val="00736BCA"/>
    <w:rsid w:val="007407DC"/>
    <w:rsid w:val="00743CD8"/>
    <w:rsid w:val="00745B97"/>
    <w:rsid w:val="00750036"/>
    <w:rsid w:val="00750B90"/>
    <w:rsid w:val="0075314B"/>
    <w:rsid w:val="0075425D"/>
    <w:rsid w:val="007550C0"/>
    <w:rsid w:val="007566B0"/>
    <w:rsid w:val="007612B9"/>
    <w:rsid w:val="00771216"/>
    <w:rsid w:val="00771437"/>
    <w:rsid w:val="007762F4"/>
    <w:rsid w:val="00776D67"/>
    <w:rsid w:val="00780113"/>
    <w:rsid w:val="00781E4F"/>
    <w:rsid w:val="007821EF"/>
    <w:rsid w:val="00783B46"/>
    <w:rsid w:val="00783C7B"/>
    <w:rsid w:val="00786010"/>
    <w:rsid w:val="00787943"/>
    <w:rsid w:val="0079418A"/>
    <w:rsid w:val="007A1F55"/>
    <w:rsid w:val="007A5A0B"/>
    <w:rsid w:val="007A5BE8"/>
    <w:rsid w:val="007B0604"/>
    <w:rsid w:val="007B245A"/>
    <w:rsid w:val="007B7523"/>
    <w:rsid w:val="007B7AA7"/>
    <w:rsid w:val="007C095C"/>
    <w:rsid w:val="007C1571"/>
    <w:rsid w:val="007C44EC"/>
    <w:rsid w:val="007C5EBF"/>
    <w:rsid w:val="007C6F5F"/>
    <w:rsid w:val="007D4460"/>
    <w:rsid w:val="007D564C"/>
    <w:rsid w:val="007D67FE"/>
    <w:rsid w:val="007D7158"/>
    <w:rsid w:val="007E122F"/>
    <w:rsid w:val="007E1396"/>
    <w:rsid w:val="007E1E23"/>
    <w:rsid w:val="007E4941"/>
    <w:rsid w:val="007E512F"/>
    <w:rsid w:val="007E6019"/>
    <w:rsid w:val="007E6F2F"/>
    <w:rsid w:val="007F0DC6"/>
    <w:rsid w:val="007F3179"/>
    <w:rsid w:val="007F3D9C"/>
    <w:rsid w:val="007F46BB"/>
    <w:rsid w:val="007F6279"/>
    <w:rsid w:val="007F75EF"/>
    <w:rsid w:val="00800BB4"/>
    <w:rsid w:val="0080331A"/>
    <w:rsid w:val="00805CCF"/>
    <w:rsid w:val="00811906"/>
    <w:rsid w:val="00812008"/>
    <w:rsid w:val="00815C14"/>
    <w:rsid w:val="00815EB5"/>
    <w:rsid w:val="0081643D"/>
    <w:rsid w:val="00817DFC"/>
    <w:rsid w:val="008229F7"/>
    <w:rsid w:val="008263AB"/>
    <w:rsid w:val="00830B07"/>
    <w:rsid w:val="00836377"/>
    <w:rsid w:val="00837BEC"/>
    <w:rsid w:val="00837F75"/>
    <w:rsid w:val="00841098"/>
    <w:rsid w:val="00843190"/>
    <w:rsid w:val="00844486"/>
    <w:rsid w:val="00844B8E"/>
    <w:rsid w:val="0084747F"/>
    <w:rsid w:val="00847631"/>
    <w:rsid w:val="00856328"/>
    <w:rsid w:val="00856646"/>
    <w:rsid w:val="00856BB2"/>
    <w:rsid w:val="00856C26"/>
    <w:rsid w:val="008611E4"/>
    <w:rsid w:val="00861EE5"/>
    <w:rsid w:val="008623DE"/>
    <w:rsid w:val="008627C3"/>
    <w:rsid w:val="00862C81"/>
    <w:rsid w:val="00863196"/>
    <w:rsid w:val="008631F0"/>
    <w:rsid w:val="00863688"/>
    <w:rsid w:val="008642B3"/>
    <w:rsid w:val="008656A9"/>
    <w:rsid w:val="00867654"/>
    <w:rsid w:val="0087071D"/>
    <w:rsid w:val="00873368"/>
    <w:rsid w:val="008809EC"/>
    <w:rsid w:val="00881A63"/>
    <w:rsid w:val="00882B4C"/>
    <w:rsid w:val="00883094"/>
    <w:rsid w:val="0088417D"/>
    <w:rsid w:val="00884623"/>
    <w:rsid w:val="00886C4D"/>
    <w:rsid w:val="0089018B"/>
    <w:rsid w:val="0089022F"/>
    <w:rsid w:val="0089046A"/>
    <w:rsid w:val="008920E2"/>
    <w:rsid w:val="0089347C"/>
    <w:rsid w:val="00894007"/>
    <w:rsid w:val="00895543"/>
    <w:rsid w:val="00897923"/>
    <w:rsid w:val="008A1ABD"/>
    <w:rsid w:val="008A201B"/>
    <w:rsid w:val="008A50C5"/>
    <w:rsid w:val="008B1E20"/>
    <w:rsid w:val="008B22E4"/>
    <w:rsid w:val="008B3688"/>
    <w:rsid w:val="008B3BD9"/>
    <w:rsid w:val="008B475C"/>
    <w:rsid w:val="008B6C0D"/>
    <w:rsid w:val="008C3938"/>
    <w:rsid w:val="008C50E4"/>
    <w:rsid w:val="008D0579"/>
    <w:rsid w:val="008D0BA0"/>
    <w:rsid w:val="008D2DD8"/>
    <w:rsid w:val="008D3BB6"/>
    <w:rsid w:val="008D6186"/>
    <w:rsid w:val="008D7040"/>
    <w:rsid w:val="008E0068"/>
    <w:rsid w:val="008E09B1"/>
    <w:rsid w:val="008E0B41"/>
    <w:rsid w:val="008E178D"/>
    <w:rsid w:val="008E3957"/>
    <w:rsid w:val="008E41C6"/>
    <w:rsid w:val="008E41F5"/>
    <w:rsid w:val="008F35BD"/>
    <w:rsid w:val="008F7661"/>
    <w:rsid w:val="00901D5B"/>
    <w:rsid w:val="00904C36"/>
    <w:rsid w:val="00911863"/>
    <w:rsid w:val="00913FF7"/>
    <w:rsid w:val="00917BD4"/>
    <w:rsid w:val="00921111"/>
    <w:rsid w:val="009246E3"/>
    <w:rsid w:val="00924850"/>
    <w:rsid w:val="0092746F"/>
    <w:rsid w:val="009276BB"/>
    <w:rsid w:val="009303F1"/>
    <w:rsid w:val="00930E90"/>
    <w:rsid w:val="00930ED0"/>
    <w:rsid w:val="009317D2"/>
    <w:rsid w:val="00950E95"/>
    <w:rsid w:val="00952B02"/>
    <w:rsid w:val="00954682"/>
    <w:rsid w:val="009549C5"/>
    <w:rsid w:val="009552AF"/>
    <w:rsid w:val="009562ED"/>
    <w:rsid w:val="009564ED"/>
    <w:rsid w:val="009571AF"/>
    <w:rsid w:val="00957BD3"/>
    <w:rsid w:val="00960221"/>
    <w:rsid w:val="00960BC8"/>
    <w:rsid w:val="00965796"/>
    <w:rsid w:val="0096711E"/>
    <w:rsid w:val="009701C2"/>
    <w:rsid w:val="009770DB"/>
    <w:rsid w:val="00977D5E"/>
    <w:rsid w:val="00986771"/>
    <w:rsid w:val="00991B10"/>
    <w:rsid w:val="00992AC7"/>
    <w:rsid w:val="0099530D"/>
    <w:rsid w:val="009A240A"/>
    <w:rsid w:val="009B08AC"/>
    <w:rsid w:val="009B258E"/>
    <w:rsid w:val="009B7CEE"/>
    <w:rsid w:val="009C2284"/>
    <w:rsid w:val="009C6D88"/>
    <w:rsid w:val="009C7197"/>
    <w:rsid w:val="009C739B"/>
    <w:rsid w:val="009D0984"/>
    <w:rsid w:val="009D7B70"/>
    <w:rsid w:val="009D7CB8"/>
    <w:rsid w:val="009E1D17"/>
    <w:rsid w:val="009E364A"/>
    <w:rsid w:val="009E4103"/>
    <w:rsid w:val="009E47BF"/>
    <w:rsid w:val="009E6DDA"/>
    <w:rsid w:val="009E7E96"/>
    <w:rsid w:val="009F113F"/>
    <w:rsid w:val="009F23B8"/>
    <w:rsid w:val="009F3BDE"/>
    <w:rsid w:val="009F5B18"/>
    <w:rsid w:val="009F61EE"/>
    <w:rsid w:val="00A05046"/>
    <w:rsid w:val="00A069D9"/>
    <w:rsid w:val="00A06A6E"/>
    <w:rsid w:val="00A071C6"/>
    <w:rsid w:val="00A07AB2"/>
    <w:rsid w:val="00A10D58"/>
    <w:rsid w:val="00A126FA"/>
    <w:rsid w:val="00A15C06"/>
    <w:rsid w:val="00A16813"/>
    <w:rsid w:val="00A20783"/>
    <w:rsid w:val="00A217AE"/>
    <w:rsid w:val="00A21FD1"/>
    <w:rsid w:val="00A22551"/>
    <w:rsid w:val="00A226B8"/>
    <w:rsid w:val="00A23A37"/>
    <w:rsid w:val="00A23C4F"/>
    <w:rsid w:val="00A247AD"/>
    <w:rsid w:val="00A26416"/>
    <w:rsid w:val="00A27AF7"/>
    <w:rsid w:val="00A31F2F"/>
    <w:rsid w:val="00A3284A"/>
    <w:rsid w:val="00A34395"/>
    <w:rsid w:val="00A4051A"/>
    <w:rsid w:val="00A405EA"/>
    <w:rsid w:val="00A43BD0"/>
    <w:rsid w:val="00A44EE0"/>
    <w:rsid w:val="00A45814"/>
    <w:rsid w:val="00A51443"/>
    <w:rsid w:val="00A51CF4"/>
    <w:rsid w:val="00A51EC7"/>
    <w:rsid w:val="00A53CBB"/>
    <w:rsid w:val="00A53E9C"/>
    <w:rsid w:val="00A554F2"/>
    <w:rsid w:val="00A55618"/>
    <w:rsid w:val="00A560F4"/>
    <w:rsid w:val="00A570B0"/>
    <w:rsid w:val="00A6084F"/>
    <w:rsid w:val="00A61163"/>
    <w:rsid w:val="00A644F5"/>
    <w:rsid w:val="00A64FE1"/>
    <w:rsid w:val="00A66594"/>
    <w:rsid w:val="00A674FD"/>
    <w:rsid w:val="00A7312F"/>
    <w:rsid w:val="00A7408A"/>
    <w:rsid w:val="00A76B92"/>
    <w:rsid w:val="00A76CFB"/>
    <w:rsid w:val="00A82B3D"/>
    <w:rsid w:val="00A8405B"/>
    <w:rsid w:val="00A84168"/>
    <w:rsid w:val="00A85EC6"/>
    <w:rsid w:val="00A871CE"/>
    <w:rsid w:val="00A87216"/>
    <w:rsid w:val="00A9039B"/>
    <w:rsid w:val="00A91FFD"/>
    <w:rsid w:val="00A95B23"/>
    <w:rsid w:val="00A96232"/>
    <w:rsid w:val="00A9644C"/>
    <w:rsid w:val="00A9680F"/>
    <w:rsid w:val="00AB05F3"/>
    <w:rsid w:val="00AB14C2"/>
    <w:rsid w:val="00AB22D6"/>
    <w:rsid w:val="00AB2C55"/>
    <w:rsid w:val="00AB40FD"/>
    <w:rsid w:val="00AB502C"/>
    <w:rsid w:val="00AB51E4"/>
    <w:rsid w:val="00AB693A"/>
    <w:rsid w:val="00AB746D"/>
    <w:rsid w:val="00AC1800"/>
    <w:rsid w:val="00AC1E59"/>
    <w:rsid w:val="00AC2F06"/>
    <w:rsid w:val="00AC44EC"/>
    <w:rsid w:val="00AD24EE"/>
    <w:rsid w:val="00AD48CF"/>
    <w:rsid w:val="00AD537A"/>
    <w:rsid w:val="00AD6831"/>
    <w:rsid w:val="00AD7F4B"/>
    <w:rsid w:val="00AE0A61"/>
    <w:rsid w:val="00AE306B"/>
    <w:rsid w:val="00AE65BE"/>
    <w:rsid w:val="00AE74DC"/>
    <w:rsid w:val="00AE7B79"/>
    <w:rsid w:val="00AF0015"/>
    <w:rsid w:val="00AF0BD6"/>
    <w:rsid w:val="00AF1736"/>
    <w:rsid w:val="00AF1DB8"/>
    <w:rsid w:val="00AF29BF"/>
    <w:rsid w:val="00AF4DC8"/>
    <w:rsid w:val="00AF618D"/>
    <w:rsid w:val="00AF7856"/>
    <w:rsid w:val="00B042B6"/>
    <w:rsid w:val="00B06341"/>
    <w:rsid w:val="00B068A0"/>
    <w:rsid w:val="00B07E4A"/>
    <w:rsid w:val="00B13636"/>
    <w:rsid w:val="00B14EF4"/>
    <w:rsid w:val="00B17C69"/>
    <w:rsid w:val="00B20204"/>
    <w:rsid w:val="00B24E7C"/>
    <w:rsid w:val="00B25049"/>
    <w:rsid w:val="00B265A1"/>
    <w:rsid w:val="00B27AE1"/>
    <w:rsid w:val="00B32AB7"/>
    <w:rsid w:val="00B40A85"/>
    <w:rsid w:val="00B42210"/>
    <w:rsid w:val="00B44720"/>
    <w:rsid w:val="00B46DFF"/>
    <w:rsid w:val="00B51F03"/>
    <w:rsid w:val="00B574CD"/>
    <w:rsid w:val="00B62E3E"/>
    <w:rsid w:val="00B636FC"/>
    <w:rsid w:val="00B648E7"/>
    <w:rsid w:val="00B6582B"/>
    <w:rsid w:val="00B65D02"/>
    <w:rsid w:val="00B72B8B"/>
    <w:rsid w:val="00B74261"/>
    <w:rsid w:val="00B821B5"/>
    <w:rsid w:val="00B82366"/>
    <w:rsid w:val="00B82680"/>
    <w:rsid w:val="00B8413E"/>
    <w:rsid w:val="00B84A07"/>
    <w:rsid w:val="00B91B14"/>
    <w:rsid w:val="00B91DCE"/>
    <w:rsid w:val="00B94352"/>
    <w:rsid w:val="00B9509B"/>
    <w:rsid w:val="00BA207F"/>
    <w:rsid w:val="00BA61A3"/>
    <w:rsid w:val="00BB16A9"/>
    <w:rsid w:val="00BB1B13"/>
    <w:rsid w:val="00BB2C1B"/>
    <w:rsid w:val="00BB4F75"/>
    <w:rsid w:val="00BB7283"/>
    <w:rsid w:val="00BB76AC"/>
    <w:rsid w:val="00BC0A00"/>
    <w:rsid w:val="00BC0F5D"/>
    <w:rsid w:val="00BC1039"/>
    <w:rsid w:val="00BC10BA"/>
    <w:rsid w:val="00BC1FB8"/>
    <w:rsid w:val="00BC446A"/>
    <w:rsid w:val="00BC49B9"/>
    <w:rsid w:val="00BC4A5D"/>
    <w:rsid w:val="00BC50B6"/>
    <w:rsid w:val="00BD0DDB"/>
    <w:rsid w:val="00BD2998"/>
    <w:rsid w:val="00BD3EEB"/>
    <w:rsid w:val="00BD6FAE"/>
    <w:rsid w:val="00BE1BDE"/>
    <w:rsid w:val="00BE607E"/>
    <w:rsid w:val="00BF1136"/>
    <w:rsid w:val="00BF2118"/>
    <w:rsid w:val="00BF23C6"/>
    <w:rsid w:val="00BF5E94"/>
    <w:rsid w:val="00BF6E28"/>
    <w:rsid w:val="00BF6E9B"/>
    <w:rsid w:val="00C01EC0"/>
    <w:rsid w:val="00C020FE"/>
    <w:rsid w:val="00C02F95"/>
    <w:rsid w:val="00C0376D"/>
    <w:rsid w:val="00C0400B"/>
    <w:rsid w:val="00C04831"/>
    <w:rsid w:val="00C04B10"/>
    <w:rsid w:val="00C062D8"/>
    <w:rsid w:val="00C07406"/>
    <w:rsid w:val="00C074AF"/>
    <w:rsid w:val="00C07F94"/>
    <w:rsid w:val="00C10159"/>
    <w:rsid w:val="00C140EF"/>
    <w:rsid w:val="00C14CFC"/>
    <w:rsid w:val="00C22C4F"/>
    <w:rsid w:val="00C23609"/>
    <w:rsid w:val="00C250E2"/>
    <w:rsid w:val="00C25625"/>
    <w:rsid w:val="00C30AC0"/>
    <w:rsid w:val="00C3388F"/>
    <w:rsid w:val="00C359FF"/>
    <w:rsid w:val="00C41291"/>
    <w:rsid w:val="00C41F9E"/>
    <w:rsid w:val="00C42435"/>
    <w:rsid w:val="00C516E7"/>
    <w:rsid w:val="00C518C1"/>
    <w:rsid w:val="00C529BD"/>
    <w:rsid w:val="00C574D7"/>
    <w:rsid w:val="00C62170"/>
    <w:rsid w:val="00C63538"/>
    <w:rsid w:val="00C643B4"/>
    <w:rsid w:val="00C64D27"/>
    <w:rsid w:val="00C6521C"/>
    <w:rsid w:val="00C70064"/>
    <w:rsid w:val="00C713CF"/>
    <w:rsid w:val="00C71C58"/>
    <w:rsid w:val="00C74050"/>
    <w:rsid w:val="00C745C7"/>
    <w:rsid w:val="00C754A5"/>
    <w:rsid w:val="00C76B37"/>
    <w:rsid w:val="00C770DB"/>
    <w:rsid w:val="00C80FD4"/>
    <w:rsid w:val="00C81384"/>
    <w:rsid w:val="00C814A5"/>
    <w:rsid w:val="00C81D1C"/>
    <w:rsid w:val="00C82DFB"/>
    <w:rsid w:val="00C85BDC"/>
    <w:rsid w:val="00C85D61"/>
    <w:rsid w:val="00C907D6"/>
    <w:rsid w:val="00C965CF"/>
    <w:rsid w:val="00C97507"/>
    <w:rsid w:val="00CA2771"/>
    <w:rsid w:val="00CA34C8"/>
    <w:rsid w:val="00CA35D5"/>
    <w:rsid w:val="00CA410C"/>
    <w:rsid w:val="00CA47C4"/>
    <w:rsid w:val="00CA5010"/>
    <w:rsid w:val="00CA53EF"/>
    <w:rsid w:val="00CA5D3F"/>
    <w:rsid w:val="00CB3D8B"/>
    <w:rsid w:val="00CC258C"/>
    <w:rsid w:val="00CC2752"/>
    <w:rsid w:val="00CC2B68"/>
    <w:rsid w:val="00CC670A"/>
    <w:rsid w:val="00CC74A0"/>
    <w:rsid w:val="00CC7AF2"/>
    <w:rsid w:val="00CD12A9"/>
    <w:rsid w:val="00CD3F0F"/>
    <w:rsid w:val="00CD7058"/>
    <w:rsid w:val="00CE1720"/>
    <w:rsid w:val="00CE287C"/>
    <w:rsid w:val="00CF016D"/>
    <w:rsid w:val="00CF446C"/>
    <w:rsid w:val="00CF4E76"/>
    <w:rsid w:val="00D00710"/>
    <w:rsid w:val="00D00DC5"/>
    <w:rsid w:val="00D13004"/>
    <w:rsid w:val="00D13834"/>
    <w:rsid w:val="00D15E89"/>
    <w:rsid w:val="00D23F44"/>
    <w:rsid w:val="00D25AFC"/>
    <w:rsid w:val="00D26742"/>
    <w:rsid w:val="00D36FF2"/>
    <w:rsid w:val="00D3733D"/>
    <w:rsid w:val="00D40C1D"/>
    <w:rsid w:val="00D4286E"/>
    <w:rsid w:val="00D42EE3"/>
    <w:rsid w:val="00D43110"/>
    <w:rsid w:val="00D44EDA"/>
    <w:rsid w:val="00D45B0A"/>
    <w:rsid w:val="00D46928"/>
    <w:rsid w:val="00D562C6"/>
    <w:rsid w:val="00D57144"/>
    <w:rsid w:val="00D60702"/>
    <w:rsid w:val="00D63489"/>
    <w:rsid w:val="00D65801"/>
    <w:rsid w:val="00D65C67"/>
    <w:rsid w:val="00D6601A"/>
    <w:rsid w:val="00D7094B"/>
    <w:rsid w:val="00D7188B"/>
    <w:rsid w:val="00D831C3"/>
    <w:rsid w:val="00D837D8"/>
    <w:rsid w:val="00D83B34"/>
    <w:rsid w:val="00D860B7"/>
    <w:rsid w:val="00D86F3E"/>
    <w:rsid w:val="00D90B29"/>
    <w:rsid w:val="00DA0EE3"/>
    <w:rsid w:val="00DA5D76"/>
    <w:rsid w:val="00DA7AF0"/>
    <w:rsid w:val="00DB1888"/>
    <w:rsid w:val="00DB59EE"/>
    <w:rsid w:val="00DB5C01"/>
    <w:rsid w:val="00DC0085"/>
    <w:rsid w:val="00DC1041"/>
    <w:rsid w:val="00DD0195"/>
    <w:rsid w:val="00DD1943"/>
    <w:rsid w:val="00DD3FC1"/>
    <w:rsid w:val="00DD4CBF"/>
    <w:rsid w:val="00DD6F18"/>
    <w:rsid w:val="00DE0846"/>
    <w:rsid w:val="00DE6064"/>
    <w:rsid w:val="00DF10D5"/>
    <w:rsid w:val="00DF175C"/>
    <w:rsid w:val="00DF17A5"/>
    <w:rsid w:val="00DF3018"/>
    <w:rsid w:val="00DF620A"/>
    <w:rsid w:val="00DF66BA"/>
    <w:rsid w:val="00E00ECA"/>
    <w:rsid w:val="00E02378"/>
    <w:rsid w:val="00E035B4"/>
    <w:rsid w:val="00E076F3"/>
    <w:rsid w:val="00E11023"/>
    <w:rsid w:val="00E111F9"/>
    <w:rsid w:val="00E114BB"/>
    <w:rsid w:val="00E141C2"/>
    <w:rsid w:val="00E14405"/>
    <w:rsid w:val="00E1782E"/>
    <w:rsid w:val="00E20752"/>
    <w:rsid w:val="00E236DB"/>
    <w:rsid w:val="00E256B6"/>
    <w:rsid w:val="00E2691A"/>
    <w:rsid w:val="00E27CE8"/>
    <w:rsid w:val="00E31B0F"/>
    <w:rsid w:val="00E33293"/>
    <w:rsid w:val="00E33358"/>
    <w:rsid w:val="00E36779"/>
    <w:rsid w:val="00E40FAB"/>
    <w:rsid w:val="00E41478"/>
    <w:rsid w:val="00E41889"/>
    <w:rsid w:val="00E418F5"/>
    <w:rsid w:val="00E44C75"/>
    <w:rsid w:val="00E45396"/>
    <w:rsid w:val="00E53661"/>
    <w:rsid w:val="00E53BE8"/>
    <w:rsid w:val="00E53E77"/>
    <w:rsid w:val="00E571FB"/>
    <w:rsid w:val="00E609D5"/>
    <w:rsid w:val="00E60E39"/>
    <w:rsid w:val="00E614DC"/>
    <w:rsid w:val="00E6275D"/>
    <w:rsid w:val="00E63284"/>
    <w:rsid w:val="00E65644"/>
    <w:rsid w:val="00E65A9C"/>
    <w:rsid w:val="00E66538"/>
    <w:rsid w:val="00E71935"/>
    <w:rsid w:val="00E72739"/>
    <w:rsid w:val="00E727F6"/>
    <w:rsid w:val="00E739FC"/>
    <w:rsid w:val="00E8089A"/>
    <w:rsid w:val="00E81613"/>
    <w:rsid w:val="00E87A81"/>
    <w:rsid w:val="00E90A29"/>
    <w:rsid w:val="00E90D94"/>
    <w:rsid w:val="00E970B3"/>
    <w:rsid w:val="00EA10EA"/>
    <w:rsid w:val="00EA1A7F"/>
    <w:rsid w:val="00EA28EC"/>
    <w:rsid w:val="00EA425B"/>
    <w:rsid w:val="00EA4727"/>
    <w:rsid w:val="00EA57D5"/>
    <w:rsid w:val="00EA79D8"/>
    <w:rsid w:val="00EB1D7D"/>
    <w:rsid w:val="00EB2A69"/>
    <w:rsid w:val="00EB2B00"/>
    <w:rsid w:val="00EB3185"/>
    <w:rsid w:val="00EC1AE9"/>
    <w:rsid w:val="00EC4A3B"/>
    <w:rsid w:val="00EC60AD"/>
    <w:rsid w:val="00ED06D3"/>
    <w:rsid w:val="00ED1E93"/>
    <w:rsid w:val="00ED3992"/>
    <w:rsid w:val="00ED41BF"/>
    <w:rsid w:val="00ED52B5"/>
    <w:rsid w:val="00ED71E7"/>
    <w:rsid w:val="00EE2F9B"/>
    <w:rsid w:val="00EE3136"/>
    <w:rsid w:val="00EE59B1"/>
    <w:rsid w:val="00EE5ECF"/>
    <w:rsid w:val="00EF0354"/>
    <w:rsid w:val="00EF1DFC"/>
    <w:rsid w:val="00EF217F"/>
    <w:rsid w:val="00EF277F"/>
    <w:rsid w:val="00EF30A9"/>
    <w:rsid w:val="00F00C7D"/>
    <w:rsid w:val="00F00DC6"/>
    <w:rsid w:val="00F07679"/>
    <w:rsid w:val="00F10D59"/>
    <w:rsid w:val="00F211E1"/>
    <w:rsid w:val="00F2163C"/>
    <w:rsid w:val="00F21CCC"/>
    <w:rsid w:val="00F22BB6"/>
    <w:rsid w:val="00F25546"/>
    <w:rsid w:val="00F25F2A"/>
    <w:rsid w:val="00F25F44"/>
    <w:rsid w:val="00F26271"/>
    <w:rsid w:val="00F314EE"/>
    <w:rsid w:val="00F3463F"/>
    <w:rsid w:val="00F346D8"/>
    <w:rsid w:val="00F363AA"/>
    <w:rsid w:val="00F400F0"/>
    <w:rsid w:val="00F431CD"/>
    <w:rsid w:val="00F46FC0"/>
    <w:rsid w:val="00F470B8"/>
    <w:rsid w:val="00F50ADA"/>
    <w:rsid w:val="00F50EF4"/>
    <w:rsid w:val="00F51782"/>
    <w:rsid w:val="00F53144"/>
    <w:rsid w:val="00F5713A"/>
    <w:rsid w:val="00F6010F"/>
    <w:rsid w:val="00F615DD"/>
    <w:rsid w:val="00F65D3C"/>
    <w:rsid w:val="00F66D06"/>
    <w:rsid w:val="00F679B1"/>
    <w:rsid w:val="00F703BD"/>
    <w:rsid w:val="00F70EBE"/>
    <w:rsid w:val="00F7604C"/>
    <w:rsid w:val="00F80019"/>
    <w:rsid w:val="00F81758"/>
    <w:rsid w:val="00F866CF"/>
    <w:rsid w:val="00F87871"/>
    <w:rsid w:val="00F90F4F"/>
    <w:rsid w:val="00F913C6"/>
    <w:rsid w:val="00F914D8"/>
    <w:rsid w:val="00F94318"/>
    <w:rsid w:val="00F94AC2"/>
    <w:rsid w:val="00FA0816"/>
    <w:rsid w:val="00FA39B4"/>
    <w:rsid w:val="00FA4920"/>
    <w:rsid w:val="00FA613D"/>
    <w:rsid w:val="00FA7701"/>
    <w:rsid w:val="00FA7F0C"/>
    <w:rsid w:val="00FB1559"/>
    <w:rsid w:val="00FB198B"/>
    <w:rsid w:val="00FB3DEF"/>
    <w:rsid w:val="00FB465C"/>
    <w:rsid w:val="00FB5A8C"/>
    <w:rsid w:val="00FC09C0"/>
    <w:rsid w:val="00FC1BB9"/>
    <w:rsid w:val="00FC2144"/>
    <w:rsid w:val="00FC3B55"/>
    <w:rsid w:val="00FC3F5C"/>
    <w:rsid w:val="00FC495E"/>
    <w:rsid w:val="00FC748A"/>
    <w:rsid w:val="00FD01CB"/>
    <w:rsid w:val="00FD0C75"/>
    <w:rsid w:val="00FD26C0"/>
    <w:rsid w:val="00FD2FDA"/>
    <w:rsid w:val="00FD4349"/>
    <w:rsid w:val="00FD4E9F"/>
    <w:rsid w:val="00FD603A"/>
    <w:rsid w:val="00FD6584"/>
    <w:rsid w:val="00FE1752"/>
    <w:rsid w:val="00FE2365"/>
    <w:rsid w:val="00FE28D5"/>
    <w:rsid w:val="00FE3F70"/>
    <w:rsid w:val="00FE43EB"/>
    <w:rsid w:val="00FE4F12"/>
    <w:rsid w:val="00FE679D"/>
    <w:rsid w:val="00FE747D"/>
    <w:rsid w:val="00FF2BA8"/>
    <w:rsid w:val="00FF5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88E53"/>
  <w15:chartTrackingRefBased/>
  <w15:docId w15:val="{7FF28273-355A-48D1-8B9F-7221DCF7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25C"/>
    <w:rPr>
      <w:rFonts w:ascii="Arial" w:hAnsi="Arial"/>
      <w:sz w:val="24"/>
    </w:rPr>
  </w:style>
  <w:style w:type="paragraph" w:styleId="Heading2">
    <w:name w:val="heading 2"/>
    <w:basedOn w:val="Normal"/>
    <w:next w:val="Normal"/>
    <w:link w:val="Heading2Char"/>
    <w:unhideWhenUsed/>
    <w:qFormat/>
    <w:rsid w:val="005C11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qFormat/>
    <w:rsid w:val="00122BF6"/>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E5A89"/>
    <w:pPr>
      <w:spacing w:before="240"/>
    </w:pPr>
  </w:style>
  <w:style w:type="paragraph" w:styleId="ListBullet">
    <w:name w:val="List Bullet"/>
    <w:basedOn w:val="Normal"/>
    <w:autoRedefine/>
    <w:rsid w:val="005A025C"/>
    <w:pPr>
      <w:jc w:val="right"/>
    </w:pPr>
    <w:rPr>
      <w:sz w:val="20"/>
    </w:rPr>
  </w:style>
  <w:style w:type="paragraph" w:styleId="Footer">
    <w:name w:val="footer"/>
    <w:basedOn w:val="Normal"/>
    <w:link w:val="FooterChar"/>
    <w:rsid w:val="005A025C"/>
    <w:pPr>
      <w:tabs>
        <w:tab w:val="right" w:pos="9026"/>
      </w:tabs>
    </w:pPr>
    <w:rPr>
      <w:sz w:val="18"/>
    </w:rPr>
  </w:style>
  <w:style w:type="character" w:styleId="PageNumber">
    <w:name w:val="page number"/>
    <w:basedOn w:val="DefaultParagraphFont"/>
    <w:rsid w:val="005A025C"/>
  </w:style>
  <w:style w:type="character" w:customStyle="1" w:styleId="FooterChar">
    <w:name w:val="Footer Char"/>
    <w:link w:val="Footer"/>
    <w:semiHidden/>
    <w:locked/>
    <w:rsid w:val="005A025C"/>
    <w:rPr>
      <w:rFonts w:ascii="Arial" w:hAnsi="Arial"/>
      <w:sz w:val="18"/>
      <w:lang w:val="en-AU" w:eastAsia="en-AU" w:bidi="ar-SA"/>
    </w:rPr>
  </w:style>
  <w:style w:type="paragraph" w:styleId="NormalWeb">
    <w:name w:val="Normal (Web)"/>
    <w:basedOn w:val="Normal"/>
    <w:rsid w:val="00352DFA"/>
    <w:pPr>
      <w:spacing w:before="100" w:beforeAutospacing="1" w:after="100" w:afterAutospacing="1"/>
    </w:pPr>
    <w:rPr>
      <w:rFonts w:ascii="Times New Roman" w:hAnsi="Times New Roman"/>
      <w:color w:val="6D7276"/>
      <w:sz w:val="10"/>
      <w:szCs w:val="10"/>
      <w:lang w:val="en-US" w:eastAsia="en-US"/>
    </w:rPr>
  </w:style>
  <w:style w:type="paragraph" w:styleId="Header">
    <w:name w:val="header"/>
    <w:basedOn w:val="Normal"/>
    <w:link w:val="HeaderChar"/>
    <w:uiPriority w:val="99"/>
    <w:rsid w:val="005071F4"/>
    <w:pPr>
      <w:tabs>
        <w:tab w:val="center" w:pos="4320"/>
        <w:tab w:val="right" w:pos="8640"/>
      </w:tabs>
    </w:pPr>
  </w:style>
  <w:style w:type="character" w:styleId="CommentReference">
    <w:name w:val="annotation reference"/>
    <w:uiPriority w:val="99"/>
    <w:semiHidden/>
    <w:rsid w:val="000E3123"/>
    <w:rPr>
      <w:sz w:val="16"/>
      <w:szCs w:val="16"/>
    </w:rPr>
  </w:style>
  <w:style w:type="paragraph" w:styleId="CommentText">
    <w:name w:val="annotation text"/>
    <w:basedOn w:val="Normal"/>
    <w:semiHidden/>
    <w:rsid w:val="000E3123"/>
    <w:rPr>
      <w:sz w:val="20"/>
    </w:rPr>
  </w:style>
  <w:style w:type="paragraph" w:styleId="CommentSubject">
    <w:name w:val="annotation subject"/>
    <w:basedOn w:val="CommentText"/>
    <w:next w:val="CommentText"/>
    <w:semiHidden/>
    <w:rsid w:val="000E3123"/>
    <w:rPr>
      <w:b/>
      <w:bCs/>
    </w:rPr>
  </w:style>
  <w:style w:type="paragraph" w:styleId="BalloonText">
    <w:name w:val="Balloon Text"/>
    <w:basedOn w:val="Normal"/>
    <w:semiHidden/>
    <w:rsid w:val="000E3123"/>
    <w:rPr>
      <w:rFonts w:ascii="Tahoma" w:hAnsi="Tahoma" w:cs="Tahoma"/>
      <w:sz w:val="16"/>
      <w:szCs w:val="16"/>
    </w:rPr>
  </w:style>
  <w:style w:type="paragraph" w:customStyle="1" w:styleId="Lettertext">
    <w:name w:val="Letter text"/>
    <w:basedOn w:val="Normal"/>
    <w:uiPriority w:val="99"/>
    <w:rsid w:val="006D7D53"/>
  </w:style>
  <w:style w:type="paragraph" w:styleId="ListParagraph">
    <w:name w:val="List Paragraph"/>
    <w:basedOn w:val="Normal"/>
    <w:uiPriority w:val="34"/>
    <w:qFormat/>
    <w:rsid w:val="000A096E"/>
    <w:pPr>
      <w:ind w:left="720"/>
    </w:pPr>
    <w:rPr>
      <w:rFonts w:ascii="Calibri" w:eastAsia="Calibri" w:hAnsi="Calibri"/>
      <w:sz w:val="22"/>
      <w:szCs w:val="22"/>
      <w:lang w:eastAsia="en-US"/>
    </w:rPr>
  </w:style>
  <w:style w:type="character" w:customStyle="1" w:styleId="HeaderChar">
    <w:name w:val="Header Char"/>
    <w:link w:val="Header"/>
    <w:uiPriority w:val="99"/>
    <w:rsid w:val="00571FD6"/>
    <w:rPr>
      <w:rFonts w:ascii="Arial" w:hAnsi="Arial"/>
      <w:sz w:val="24"/>
    </w:rPr>
  </w:style>
  <w:style w:type="character" w:styleId="Hyperlink">
    <w:name w:val="Hyperlink"/>
    <w:basedOn w:val="DefaultParagraphFont"/>
    <w:rsid w:val="00056931"/>
    <w:rPr>
      <w:color w:val="0563C1" w:themeColor="hyperlink"/>
      <w:u w:val="single"/>
    </w:rPr>
  </w:style>
  <w:style w:type="character" w:styleId="UnresolvedMention">
    <w:name w:val="Unresolved Mention"/>
    <w:basedOn w:val="DefaultParagraphFont"/>
    <w:uiPriority w:val="99"/>
    <w:semiHidden/>
    <w:unhideWhenUsed/>
    <w:rsid w:val="00056931"/>
    <w:rPr>
      <w:color w:val="808080"/>
      <w:shd w:val="clear" w:color="auto" w:fill="E6E6E6"/>
    </w:rPr>
  </w:style>
  <w:style w:type="table" w:styleId="TableGrid">
    <w:name w:val="Table Grid"/>
    <w:basedOn w:val="TableNormal"/>
    <w:uiPriority w:val="59"/>
    <w:rsid w:val="00005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details">
    <w:name w:val="To details"/>
    <w:basedOn w:val="Normal"/>
    <w:next w:val="Normal"/>
    <w:rsid w:val="00B648E7"/>
    <w:pPr>
      <w:spacing w:line="300" w:lineRule="atLeast"/>
    </w:pPr>
    <w:rPr>
      <w:sz w:val="22"/>
    </w:rPr>
  </w:style>
  <w:style w:type="character" w:customStyle="1" w:styleId="Heading2Char">
    <w:name w:val="Heading 2 Char"/>
    <w:basedOn w:val="DefaultParagraphFont"/>
    <w:link w:val="Heading2"/>
    <w:rsid w:val="005C11D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23582">
      <w:bodyDiv w:val="1"/>
      <w:marLeft w:val="0"/>
      <w:marRight w:val="0"/>
      <w:marTop w:val="0"/>
      <w:marBottom w:val="0"/>
      <w:divBdr>
        <w:top w:val="none" w:sz="0" w:space="0" w:color="auto"/>
        <w:left w:val="none" w:sz="0" w:space="0" w:color="auto"/>
        <w:bottom w:val="none" w:sz="0" w:space="0" w:color="auto"/>
        <w:right w:val="none" w:sz="0" w:space="0" w:color="auto"/>
      </w:divBdr>
    </w:div>
    <w:div w:id="597326351">
      <w:bodyDiv w:val="1"/>
      <w:marLeft w:val="0"/>
      <w:marRight w:val="0"/>
      <w:marTop w:val="0"/>
      <w:marBottom w:val="0"/>
      <w:divBdr>
        <w:top w:val="none" w:sz="0" w:space="0" w:color="auto"/>
        <w:left w:val="none" w:sz="0" w:space="0" w:color="auto"/>
        <w:bottom w:val="none" w:sz="0" w:space="0" w:color="auto"/>
        <w:right w:val="none" w:sz="0" w:space="0" w:color="auto"/>
      </w:divBdr>
    </w:div>
    <w:div w:id="719863477">
      <w:bodyDiv w:val="1"/>
      <w:marLeft w:val="0"/>
      <w:marRight w:val="0"/>
      <w:marTop w:val="0"/>
      <w:marBottom w:val="0"/>
      <w:divBdr>
        <w:top w:val="none" w:sz="0" w:space="0" w:color="auto"/>
        <w:left w:val="none" w:sz="0" w:space="0" w:color="auto"/>
        <w:bottom w:val="none" w:sz="0" w:space="0" w:color="auto"/>
        <w:right w:val="none" w:sz="0" w:space="0" w:color="auto"/>
      </w:divBdr>
    </w:div>
    <w:div w:id="1097361975">
      <w:bodyDiv w:val="1"/>
      <w:marLeft w:val="0"/>
      <w:marRight w:val="0"/>
      <w:marTop w:val="0"/>
      <w:marBottom w:val="0"/>
      <w:divBdr>
        <w:top w:val="none" w:sz="0" w:space="0" w:color="auto"/>
        <w:left w:val="none" w:sz="0" w:space="0" w:color="auto"/>
        <w:bottom w:val="none" w:sz="0" w:space="0" w:color="auto"/>
        <w:right w:val="single" w:sz="6" w:space="6" w:color="FFFFFF"/>
      </w:divBdr>
      <w:divsChild>
        <w:div w:id="1720084816">
          <w:marLeft w:val="0"/>
          <w:marRight w:val="0"/>
          <w:marTop w:val="0"/>
          <w:marBottom w:val="0"/>
          <w:divBdr>
            <w:top w:val="none" w:sz="0" w:space="0" w:color="auto"/>
            <w:left w:val="none" w:sz="0" w:space="0" w:color="auto"/>
            <w:bottom w:val="none" w:sz="0" w:space="0" w:color="auto"/>
            <w:right w:val="none" w:sz="0" w:space="0" w:color="auto"/>
          </w:divBdr>
          <w:divsChild>
            <w:div w:id="999693203">
              <w:marLeft w:val="0"/>
              <w:marRight w:val="0"/>
              <w:marTop w:val="0"/>
              <w:marBottom w:val="0"/>
              <w:divBdr>
                <w:top w:val="none" w:sz="0" w:space="0" w:color="auto"/>
                <w:left w:val="none" w:sz="0" w:space="0" w:color="auto"/>
                <w:bottom w:val="none" w:sz="0" w:space="0" w:color="auto"/>
                <w:right w:val="none" w:sz="0" w:space="0" w:color="auto"/>
              </w:divBdr>
              <w:divsChild>
                <w:div w:id="17881218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8851968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9146643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098600264">
      <w:bodyDiv w:val="1"/>
      <w:marLeft w:val="60"/>
      <w:marRight w:val="60"/>
      <w:marTop w:val="60"/>
      <w:marBottom w:val="15"/>
      <w:divBdr>
        <w:top w:val="none" w:sz="0" w:space="0" w:color="auto"/>
        <w:left w:val="none" w:sz="0" w:space="0" w:color="auto"/>
        <w:bottom w:val="none" w:sz="0" w:space="0" w:color="auto"/>
        <w:right w:val="none" w:sz="0" w:space="0" w:color="auto"/>
      </w:divBdr>
      <w:divsChild>
        <w:div w:id="453407794">
          <w:marLeft w:val="0"/>
          <w:marRight w:val="0"/>
          <w:marTop w:val="0"/>
          <w:marBottom w:val="0"/>
          <w:divBdr>
            <w:top w:val="none" w:sz="0" w:space="0" w:color="auto"/>
            <w:left w:val="none" w:sz="0" w:space="0" w:color="auto"/>
            <w:bottom w:val="none" w:sz="0" w:space="0" w:color="auto"/>
            <w:right w:val="none" w:sz="0" w:space="0" w:color="auto"/>
          </w:divBdr>
          <w:divsChild>
            <w:div w:id="77867766">
              <w:marLeft w:val="0"/>
              <w:marRight w:val="0"/>
              <w:marTop w:val="0"/>
              <w:marBottom w:val="0"/>
              <w:divBdr>
                <w:top w:val="none" w:sz="0" w:space="0" w:color="auto"/>
                <w:left w:val="none" w:sz="0" w:space="0" w:color="auto"/>
                <w:bottom w:val="none" w:sz="0" w:space="0" w:color="auto"/>
                <w:right w:val="none" w:sz="0" w:space="0" w:color="auto"/>
              </w:divBdr>
            </w:div>
            <w:div w:id="378360104">
              <w:marLeft w:val="0"/>
              <w:marRight w:val="0"/>
              <w:marTop w:val="0"/>
              <w:marBottom w:val="0"/>
              <w:divBdr>
                <w:top w:val="none" w:sz="0" w:space="0" w:color="auto"/>
                <w:left w:val="none" w:sz="0" w:space="0" w:color="auto"/>
                <w:bottom w:val="none" w:sz="0" w:space="0" w:color="auto"/>
                <w:right w:val="none" w:sz="0" w:space="0" w:color="auto"/>
              </w:divBdr>
            </w:div>
            <w:div w:id="558786194">
              <w:marLeft w:val="0"/>
              <w:marRight w:val="0"/>
              <w:marTop w:val="0"/>
              <w:marBottom w:val="0"/>
              <w:divBdr>
                <w:top w:val="none" w:sz="0" w:space="0" w:color="auto"/>
                <w:left w:val="none" w:sz="0" w:space="0" w:color="auto"/>
                <w:bottom w:val="none" w:sz="0" w:space="0" w:color="auto"/>
                <w:right w:val="none" w:sz="0" w:space="0" w:color="auto"/>
              </w:divBdr>
            </w:div>
            <w:div w:id="603733464">
              <w:marLeft w:val="0"/>
              <w:marRight w:val="0"/>
              <w:marTop w:val="0"/>
              <w:marBottom w:val="0"/>
              <w:divBdr>
                <w:top w:val="none" w:sz="0" w:space="0" w:color="auto"/>
                <w:left w:val="none" w:sz="0" w:space="0" w:color="auto"/>
                <w:bottom w:val="none" w:sz="0" w:space="0" w:color="auto"/>
                <w:right w:val="none" w:sz="0" w:space="0" w:color="auto"/>
              </w:divBdr>
            </w:div>
            <w:div w:id="11418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022">
      <w:bodyDiv w:val="1"/>
      <w:marLeft w:val="0"/>
      <w:marRight w:val="0"/>
      <w:marTop w:val="0"/>
      <w:marBottom w:val="0"/>
      <w:divBdr>
        <w:top w:val="none" w:sz="0" w:space="0" w:color="auto"/>
        <w:left w:val="none" w:sz="0" w:space="0" w:color="auto"/>
        <w:bottom w:val="none" w:sz="0" w:space="0" w:color="auto"/>
        <w:right w:val="none" w:sz="0" w:space="0" w:color="auto"/>
      </w:divBdr>
    </w:div>
    <w:div w:id="16976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oleT\AppData\Local\Microsoft\Windows\INetCache\Content.Outlook\YT5G2KIK\54503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FDE40C2363B94998E7D7ADD4129177" ma:contentTypeVersion="13" ma:contentTypeDescription="Create a new document." ma:contentTypeScope="" ma:versionID="41c75b3fe449d573decc06a114c09075">
  <xsd:schema xmlns:xsd="http://www.w3.org/2001/XMLSchema" xmlns:xs="http://www.w3.org/2001/XMLSchema" xmlns:p="http://schemas.microsoft.com/office/2006/metadata/properties" xmlns:ns3="ae19765e-2272-4c2c-af37-c1228ebdd63c" xmlns:ns4="068115ba-6658-4df2-82bb-d7429950978b" targetNamespace="http://schemas.microsoft.com/office/2006/metadata/properties" ma:root="true" ma:fieldsID="fdd6048bc2108b059ca64d3ab7bfa1e5" ns3:_="" ns4:_="">
    <xsd:import namespace="ae19765e-2272-4c2c-af37-c1228ebdd63c"/>
    <xsd:import namespace="068115ba-6658-4df2-82bb-d742995097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9765e-2272-4c2c-af37-c1228ebdd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8115ba-6658-4df2-82bb-d742995097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A5720-8028-4174-A112-0376D5E067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8EF437-B50E-4E89-869F-A86AB3C91C52}">
  <ds:schemaRefs>
    <ds:schemaRef ds:uri="http://schemas.microsoft.com/sharepoint/v3/contenttype/forms"/>
  </ds:schemaRefs>
</ds:datastoreItem>
</file>

<file path=customXml/itemProps3.xml><?xml version="1.0" encoding="utf-8"?>
<ds:datastoreItem xmlns:ds="http://schemas.openxmlformats.org/officeDocument/2006/customXml" ds:itemID="{EC4C551F-B0CD-4E00-9805-42585387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9765e-2272-4c2c-af37-c1228ebdd63c"/>
    <ds:schemaRef ds:uri="068115ba-6658-4df2-82bb-d74299509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157C1-116F-4BA6-AAA5-9F5A1593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Pages>
  <Words>2536</Words>
  <Characters>14282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DEPARTMENT OF PLANNING AND INFRASTRUCTURE –</vt:lpstr>
    </vt:vector>
  </TitlesOfParts>
  <Company>CSS</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PLANNING AND INFRASTRUCTURE –</dc:title>
  <dc:subject/>
  <dc:creator>James Sellwood</dc:creator>
  <cp:keywords/>
  <dc:description/>
  <cp:lastModifiedBy>Luke Downend</cp:lastModifiedBy>
  <cp:revision>33</cp:revision>
  <cp:lastPrinted>2018-02-18T22:51:00Z</cp:lastPrinted>
  <dcterms:created xsi:type="dcterms:W3CDTF">2020-10-14T05:52:00Z</dcterms:created>
  <dcterms:modified xsi:type="dcterms:W3CDTF">2020-11-24T06:39:00Z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A3842685</vt:lpwstr>
  </property>
  <property fmtid="{D5CDD505-2E9C-101B-9397-08002B2CF9AE}" pid="3" name="Objective-Title">
    <vt:lpwstr>Plan Finalisation Report_V1</vt:lpwstr>
  </property>
  <property fmtid="{D5CDD505-2E9C-101B-9397-08002B2CF9AE}" pid="4" name="Objective-Comment">
    <vt:lpwstr/>
  </property>
  <property fmtid="{D5CDD505-2E9C-101B-9397-08002B2CF9AE}" pid="5" name="Objective-CreationStamp">
    <vt:filetime>2017-07-07T03:35:42Z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2017-09-25T22:21:50Z</vt:filetime>
  </property>
  <property fmtid="{D5CDD505-2E9C-101B-9397-08002B2CF9AE}" pid="10" name="Objective-Owner">
    <vt:lpwstr>Georgina Pryke</vt:lpwstr>
  </property>
  <property fmtid="{D5CDD505-2E9C-101B-9397-08002B2CF9AE}" pid="11" name="Objective-Path">
    <vt:lpwstr>Objective Global Folder:1. Planning &amp; Environment (DP&amp;E):1. Planning &amp; Environment File Plan (DP&amp;E):PLANNING SYSTEM OPERATIONS MANAGEMENT:ADMINISTRATIVE ARRANGEMENTS:Coordination - Regions:Local Planning Templates:Finalisation of LEP - plan to be made - M</vt:lpwstr>
  </property>
  <property fmtid="{D5CDD505-2E9C-101B-9397-08002B2CF9AE}" pid="12" name="Objective-Parent">
    <vt:lpwstr>Finalisation of LEP - plan to be made - Minister's delegate</vt:lpwstr>
  </property>
  <property fmtid="{D5CDD505-2E9C-101B-9397-08002B2CF9AE}" pid="13" name="Objective-State">
    <vt:lpwstr>Being Drafted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Security Classification [system]">
    <vt:lpwstr>UNCLASSIFIED</vt:lpwstr>
  </property>
  <property fmtid="{D5CDD505-2E9C-101B-9397-08002B2CF9AE}" pid="21" name="Objective-DLM [system]">
    <vt:lpwstr>No Impact</vt:lpwstr>
  </property>
  <property fmtid="{D5CDD505-2E9C-101B-9397-08002B2CF9AE}" pid="22" name="Objective-Vital Record [system]">
    <vt:lpwstr>No</vt:lpwstr>
  </property>
  <property fmtid="{D5CDD505-2E9C-101B-9397-08002B2CF9AE}" pid="23" name="ContentTypeId">
    <vt:lpwstr>0x01010081FDE40C2363B94998E7D7ADD4129177</vt:lpwstr>
  </property>
</Properties>
</file>